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F01" w:rsidRDefault="00563F01" w:rsidP="00A209A6">
      <w:pPr>
        <w:spacing w:after="0" w:line="240" w:lineRule="auto"/>
        <w:rPr>
          <w:sz w:val="20"/>
          <w:szCs w:val="20"/>
        </w:rPr>
      </w:pPr>
      <w:r>
        <w:rPr>
          <w:noProof/>
          <w:sz w:val="24"/>
          <w:szCs w:val="24"/>
          <w:lang w:eastAsia="fr-FR"/>
        </w:rPr>
        <w:drawing>
          <wp:inline distT="0" distB="0" distL="0" distR="0">
            <wp:extent cx="5895975" cy="685800"/>
            <wp:effectExtent l="19050" t="0" r="9525" b="0"/>
            <wp:docPr id="1" name="Image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6" cstate="print"/>
                    <a:srcRect/>
                    <a:stretch>
                      <a:fillRect/>
                    </a:stretch>
                  </pic:blipFill>
                  <pic:spPr bwMode="auto">
                    <a:xfrm>
                      <a:off x="0" y="0"/>
                      <a:ext cx="5895975" cy="685800"/>
                    </a:xfrm>
                    <a:prstGeom prst="rect">
                      <a:avLst/>
                    </a:prstGeom>
                    <a:noFill/>
                    <a:ln w="9525">
                      <a:noFill/>
                      <a:miter lim="800000"/>
                      <a:headEnd/>
                      <a:tailEnd/>
                    </a:ln>
                  </pic:spPr>
                </pic:pic>
              </a:graphicData>
            </a:graphic>
          </wp:inline>
        </w:drawing>
      </w:r>
    </w:p>
    <w:p w:rsidR="00563F01" w:rsidRDefault="00563F01" w:rsidP="00A209A6">
      <w:pPr>
        <w:spacing w:after="0" w:line="240" w:lineRule="auto"/>
        <w:rPr>
          <w:sz w:val="20"/>
          <w:szCs w:val="20"/>
        </w:rPr>
      </w:pPr>
    </w:p>
    <w:p w:rsidR="00A209A6" w:rsidRPr="00A209A6" w:rsidRDefault="00A209A6" w:rsidP="00A209A6">
      <w:pPr>
        <w:spacing w:after="0" w:line="240" w:lineRule="auto"/>
        <w:rPr>
          <w:sz w:val="20"/>
          <w:szCs w:val="20"/>
        </w:rPr>
      </w:pPr>
      <w:r w:rsidRPr="00A209A6">
        <w:rPr>
          <w:sz w:val="20"/>
          <w:szCs w:val="20"/>
        </w:rPr>
        <w:t>COMISIÓN NACIONAL FORESTAL</w:t>
      </w:r>
    </w:p>
    <w:p w:rsidR="00A209A6" w:rsidRPr="00A209A6" w:rsidRDefault="00A209A6" w:rsidP="00A209A6">
      <w:pPr>
        <w:spacing w:after="0" w:line="240" w:lineRule="auto"/>
        <w:rPr>
          <w:sz w:val="20"/>
          <w:szCs w:val="20"/>
        </w:rPr>
      </w:pPr>
      <w:r w:rsidRPr="00A209A6">
        <w:rPr>
          <w:sz w:val="20"/>
          <w:szCs w:val="20"/>
        </w:rPr>
        <w:t>REGIÓN XII PENÍNSULA DE YUCATÁN</w:t>
      </w:r>
    </w:p>
    <w:p w:rsidR="00A209A6" w:rsidRPr="00A209A6" w:rsidRDefault="00A209A6" w:rsidP="00A209A6">
      <w:pPr>
        <w:spacing w:after="0" w:line="240" w:lineRule="auto"/>
        <w:rPr>
          <w:sz w:val="20"/>
          <w:szCs w:val="20"/>
        </w:rPr>
      </w:pPr>
      <w:r w:rsidRPr="00A209A6">
        <w:rPr>
          <w:sz w:val="20"/>
          <w:szCs w:val="20"/>
        </w:rPr>
        <w:t>DEPARTAMENTO DE CONSERVACIÓN Y RESTAURACIÓN DE ECOSISTEMAS FORESTALES</w:t>
      </w:r>
    </w:p>
    <w:p w:rsidR="00A209A6" w:rsidRPr="00A209A6" w:rsidRDefault="00A209A6" w:rsidP="00A209A6">
      <w:pPr>
        <w:spacing w:after="0" w:line="240" w:lineRule="auto"/>
        <w:rPr>
          <w:sz w:val="20"/>
          <w:szCs w:val="20"/>
        </w:rPr>
      </w:pPr>
      <w:r w:rsidRPr="00A209A6">
        <w:rPr>
          <w:sz w:val="20"/>
          <w:szCs w:val="20"/>
        </w:rPr>
        <w:t>PROGRAMA DE GERMOPLASMA FORESTAL</w:t>
      </w:r>
    </w:p>
    <w:p w:rsidR="00A209A6" w:rsidRPr="00BF0601" w:rsidRDefault="00A209A6" w:rsidP="00A209A6">
      <w:pPr>
        <w:spacing w:after="0" w:line="240" w:lineRule="auto"/>
        <w:rPr>
          <w:sz w:val="20"/>
          <w:szCs w:val="20"/>
        </w:rPr>
      </w:pPr>
      <w:r w:rsidRPr="00BF0601">
        <w:rPr>
          <w:sz w:val="20"/>
          <w:szCs w:val="20"/>
        </w:rPr>
        <w:t>ESTADO DE YUCATÁN</w:t>
      </w:r>
    </w:p>
    <w:p w:rsidR="00A209A6" w:rsidRPr="00BF0601" w:rsidRDefault="00A209A6" w:rsidP="00A209A6">
      <w:pPr>
        <w:spacing w:after="0" w:line="240" w:lineRule="auto"/>
        <w:rPr>
          <w:sz w:val="20"/>
          <w:szCs w:val="20"/>
        </w:rPr>
      </w:pPr>
    </w:p>
    <w:p w:rsidR="00A209A6" w:rsidRPr="00BF0601" w:rsidRDefault="00A209A6" w:rsidP="00A209A6">
      <w:pPr>
        <w:spacing w:after="0" w:line="240" w:lineRule="auto"/>
        <w:rPr>
          <w:sz w:val="20"/>
          <w:szCs w:val="20"/>
        </w:rPr>
      </w:pPr>
      <w:r w:rsidRPr="00BF0601">
        <w:rPr>
          <w:sz w:val="20"/>
          <w:szCs w:val="20"/>
        </w:rPr>
        <w:t>RAMON (</w:t>
      </w:r>
      <w:proofErr w:type="spellStart"/>
      <w:r w:rsidRPr="00BF0601">
        <w:rPr>
          <w:sz w:val="20"/>
          <w:szCs w:val="20"/>
        </w:rPr>
        <w:t>Brosimum</w:t>
      </w:r>
      <w:proofErr w:type="spellEnd"/>
      <w:r w:rsidRPr="00BF0601">
        <w:rPr>
          <w:sz w:val="20"/>
          <w:szCs w:val="20"/>
        </w:rPr>
        <w:t xml:space="preserve"> </w:t>
      </w:r>
      <w:proofErr w:type="spellStart"/>
      <w:r w:rsidRPr="00BF0601">
        <w:rPr>
          <w:sz w:val="20"/>
          <w:szCs w:val="20"/>
        </w:rPr>
        <w:t>alicastrum</w:t>
      </w:r>
      <w:proofErr w:type="spellEnd"/>
      <w:r w:rsidRPr="00BF0601">
        <w:rPr>
          <w:sz w:val="20"/>
          <w:szCs w:val="20"/>
        </w:rPr>
        <w:t xml:space="preserve"> </w:t>
      </w:r>
      <w:proofErr w:type="spellStart"/>
      <w:r w:rsidRPr="00BF0601">
        <w:rPr>
          <w:sz w:val="20"/>
          <w:szCs w:val="20"/>
        </w:rPr>
        <w:t>Swartz</w:t>
      </w:r>
      <w:proofErr w:type="spellEnd"/>
      <w:r w:rsidRPr="00BF0601">
        <w:rPr>
          <w:sz w:val="20"/>
          <w:szCs w:val="20"/>
        </w:rPr>
        <w:t>.)</w:t>
      </w:r>
    </w:p>
    <w:p w:rsidR="00A209A6" w:rsidRPr="00A209A6" w:rsidRDefault="00A209A6" w:rsidP="00A209A6">
      <w:pPr>
        <w:spacing w:after="0" w:line="240" w:lineRule="auto"/>
        <w:rPr>
          <w:sz w:val="20"/>
          <w:szCs w:val="20"/>
        </w:rPr>
      </w:pPr>
      <w:r w:rsidRPr="00A209A6">
        <w:rPr>
          <w:sz w:val="20"/>
          <w:szCs w:val="20"/>
        </w:rPr>
        <w:t xml:space="preserve">RAMON </w:t>
      </w:r>
      <w:r>
        <w:rPr>
          <w:sz w:val="20"/>
          <w:szCs w:val="20"/>
        </w:rPr>
        <w:t xml:space="preserve"> Protocole pour la collecte, le stockage et l</w:t>
      </w:r>
      <w:r w:rsidRPr="00A209A6">
        <w:rPr>
          <w:sz w:val="20"/>
          <w:szCs w:val="20"/>
        </w:rPr>
        <w:t>e traitement</w:t>
      </w:r>
    </w:p>
    <w:p w:rsidR="00A209A6" w:rsidRDefault="00A209A6" w:rsidP="00A209A6">
      <w:pPr>
        <w:spacing w:after="0" w:line="240" w:lineRule="auto"/>
        <w:rPr>
          <w:sz w:val="20"/>
          <w:szCs w:val="20"/>
        </w:rPr>
      </w:pPr>
    </w:p>
    <w:p w:rsidR="00A209A6" w:rsidRPr="00A209A6" w:rsidRDefault="00A209A6" w:rsidP="00A209A6">
      <w:pPr>
        <w:spacing w:after="0" w:line="240" w:lineRule="auto"/>
        <w:rPr>
          <w:sz w:val="20"/>
          <w:szCs w:val="20"/>
        </w:rPr>
      </w:pPr>
      <w:proofErr w:type="spellStart"/>
      <w:r>
        <w:rPr>
          <w:sz w:val="20"/>
          <w:szCs w:val="20"/>
        </w:rPr>
        <w:t>Elaboración</w:t>
      </w:r>
      <w:proofErr w:type="spellEnd"/>
      <w:r>
        <w:rPr>
          <w:sz w:val="20"/>
          <w:szCs w:val="20"/>
        </w:rPr>
        <w:t xml:space="preserve"> (</w:t>
      </w:r>
      <w:r w:rsidRPr="00A209A6">
        <w:rPr>
          <w:sz w:val="20"/>
          <w:szCs w:val="20"/>
        </w:rPr>
        <w:t>Préparation</w:t>
      </w:r>
      <w:r>
        <w:rPr>
          <w:sz w:val="20"/>
          <w:szCs w:val="20"/>
        </w:rPr>
        <w:t xml:space="preserve">) : </w:t>
      </w:r>
    </w:p>
    <w:p w:rsidR="00A209A6" w:rsidRPr="00A209A6" w:rsidRDefault="00A209A6" w:rsidP="00A209A6">
      <w:pPr>
        <w:spacing w:after="0" w:line="240" w:lineRule="auto"/>
        <w:rPr>
          <w:sz w:val="20"/>
          <w:szCs w:val="20"/>
        </w:rPr>
      </w:pPr>
      <w:proofErr w:type="spellStart"/>
      <w:r w:rsidRPr="00A209A6">
        <w:rPr>
          <w:sz w:val="20"/>
          <w:szCs w:val="20"/>
        </w:rPr>
        <w:t>Ing</w:t>
      </w:r>
      <w:proofErr w:type="spellEnd"/>
      <w:r w:rsidRPr="00A209A6">
        <w:rPr>
          <w:sz w:val="20"/>
          <w:szCs w:val="20"/>
        </w:rPr>
        <w:t xml:space="preserve">. Edgar R. Morales Ortiz.- </w:t>
      </w:r>
      <w:proofErr w:type="spellStart"/>
      <w:r w:rsidRPr="00A209A6">
        <w:rPr>
          <w:sz w:val="20"/>
          <w:szCs w:val="20"/>
        </w:rPr>
        <w:t>Coordinador</w:t>
      </w:r>
      <w:proofErr w:type="spellEnd"/>
      <w:r w:rsidRPr="00A209A6">
        <w:rPr>
          <w:sz w:val="20"/>
          <w:szCs w:val="20"/>
        </w:rPr>
        <w:t xml:space="preserve"> </w:t>
      </w:r>
      <w:proofErr w:type="spellStart"/>
      <w:r w:rsidRPr="00A209A6">
        <w:rPr>
          <w:sz w:val="20"/>
          <w:szCs w:val="20"/>
        </w:rPr>
        <w:t>del</w:t>
      </w:r>
      <w:proofErr w:type="spellEnd"/>
      <w:r w:rsidRPr="00A209A6">
        <w:rPr>
          <w:sz w:val="20"/>
          <w:szCs w:val="20"/>
        </w:rPr>
        <w:t xml:space="preserve"> </w:t>
      </w:r>
      <w:proofErr w:type="spellStart"/>
      <w:r w:rsidRPr="00A209A6">
        <w:rPr>
          <w:sz w:val="20"/>
          <w:szCs w:val="20"/>
        </w:rPr>
        <w:t>Programa</w:t>
      </w:r>
      <w:proofErr w:type="spellEnd"/>
      <w:r w:rsidRPr="00A209A6">
        <w:rPr>
          <w:sz w:val="20"/>
          <w:szCs w:val="20"/>
        </w:rPr>
        <w:t xml:space="preserve"> de </w:t>
      </w:r>
      <w:proofErr w:type="spellStart"/>
      <w:r w:rsidRPr="00A209A6">
        <w:rPr>
          <w:sz w:val="20"/>
          <w:szCs w:val="20"/>
        </w:rPr>
        <w:t>Germoplasma</w:t>
      </w:r>
      <w:proofErr w:type="spellEnd"/>
      <w:r w:rsidRPr="00A209A6">
        <w:rPr>
          <w:sz w:val="20"/>
          <w:szCs w:val="20"/>
        </w:rPr>
        <w:t xml:space="preserve"> (2007-2008-2009)  </w:t>
      </w:r>
    </w:p>
    <w:p w:rsidR="00A209A6" w:rsidRPr="00A209A6" w:rsidRDefault="00A209A6" w:rsidP="00A209A6">
      <w:pPr>
        <w:spacing w:after="0" w:line="240" w:lineRule="auto"/>
        <w:rPr>
          <w:sz w:val="20"/>
          <w:szCs w:val="20"/>
        </w:rPr>
      </w:pPr>
      <w:proofErr w:type="spellStart"/>
      <w:r w:rsidRPr="00A209A6">
        <w:rPr>
          <w:sz w:val="20"/>
          <w:szCs w:val="20"/>
        </w:rPr>
        <w:t>Ing</w:t>
      </w:r>
      <w:proofErr w:type="spellEnd"/>
      <w:r w:rsidRPr="00A209A6">
        <w:rPr>
          <w:sz w:val="20"/>
          <w:szCs w:val="20"/>
        </w:rPr>
        <w:t xml:space="preserve">. Luis Gerardo Herrera </w:t>
      </w:r>
      <w:proofErr w:type="spellStart"/>
      <w:r w:rsidRPr="00A209A6">
        <w:rPr>
          <w:sz w:val="20"/>
          <w:szCs w:val="20"/>
        </w:rPr>
        <w:t>Tuz</w:t>
      </w:r>
      <w:proofErr w:type="spellEnd"/>
      <w:r w:rsidRPr="00A209A6">
        <w:rPr>
          <w:sz w:val="20"/>
          <w:szCs w:val="20"/>
        </w:rPr>
        <w:t xml:space="preserve">.- Responsable </w:t>
      </w:r>
      <w:proofErr w:type="spellStart"/>
      <w:r w:rsidRPr="00A209A6">
        <w:rPr>
          <w:sz w:val="20"/>
          <w:szCs w:val="20"/>
        </w:rPr>
        <w:t>del</w:t>
      </w:r>
      <w:proofErr w:type="spellEnd"/>
      <w:r w:rsidRPr="00A209A6">
        <w:rPr>
          <w:sz w:val="20"/>
          <w:szCs w:val="20"/>
        </w:rPr>
        <w:t xml:space="preserve"> Banco de </w:t>
      </w:r>
      <w:proofErr w:type="spellStart"/>
      <w:r w:rsidRPr="00A209A6">
        <w:rPr>
          <w:sz w:val="20"/>
          <w:szCs w:val="20"/>
        </w:rPr>
        <w:t>Germoplasma</w:t>
      </w:r>
      <w:proofErr w:type="spellEnd"/>
      <w:r w:rsidRPr="00A209A6">
        <w:rPr>
          <w:sz w:val="20"/>
          <w:szCs w:val="20"/>
        </w:rPr>
        <w:t xml:space="preserve"> (2007-2008-2009)</w:t>
      </w:r>
    </w:p>
    <w:p w:rsidR="00A209A6" w:rsidRPr="006F1D68" w:rsidRDefault="00A209A6" w:rsidP="00A209A6">
      <w:pPr>
        <w:spacing w:after="0" w:line="240" w:lineRule="auto"/>
        <w:rPr>
          <w:sz w:val="20"/>
          <w:szCs w:val="20"/>
        </w:rPr>
      </w:pPr>
    </w:p>
    <w:p w:rsidR="00A209A6" w:rsidRPr="00A209A6" w:rsidRDefault="00A209A6" w:rsidP="00A209A6">
      <w:pPr>
        <w:spacing w:after="0" w:line="240" w:lineRule="auto"/>
        <w:rPr>
          <w:sz w:val="20"/>
          <w:szCs w:val="20"/>
        </w:rPr>
      </w:pPr>
      <w:proofErr w:type="spellStart"/>
      <w:r w:rsidRPr="00A209A6">
        <w:rPr>
          <w:sz w:val="20"/>
          <w:szCs w:val="20"/>
        </w:rPr>
        <w:t>Revisión</w:t>
      </w:r>
      <w:proofErr w:type="spellEnd"/>
      <w:r w:rsidRPr="00A209A6">
        <w:rPr>
          <w:sz w:val="20"/>
          <w:szCs w:val="20"/>
        </w:rPr>
        <w:t xml:space="preserve"> y </w:t>
      </w:r>
      <w:proofErr w:type="spellStart"/>
      <w:r w:rsidRPr="00A209A6">
        <w:rPr>
          <w:sz w:val="20"/>
          <w:szCs w:val="20"/>
        </w:rPr>
        <w:t>Visto</w:t>
      </w:r>
      <w:proofErr w:type="spellEnd"/>
      <w:r w:rsidRPr="00A209A6">
        <w:rPr>
          <w:sz w:val="20"/>
          <w:szCs w:val="20"/>
        </w:rPr>
        <w:t xml:space="preserve"> </w:t>
      </w:r>
      <w:proofErr w:type="spellStart"/>
      <w:r w:rsidRPr="00A209A6">
        <w:rPr>
          <w:sz w:val="20"/>
          <w:szCs w:val="20"/>
        </w:rPr>
        <w:t>Bueno</w:t>
      </w:r>
      <w:proofErr w:type="spellEnd"/>
      <w:r w:rsidRPr="00A209A6">
        <w:rPr>
          <w:sz w:val="20"/>
          <w:szCs w:val="20"/>
        </w:rPr>
        <w:t xml:space="preserve"> (Examen et </w:t>
      </w:r>
      <w:proofErr w:type="spellStart"/>
      <w:r w:rsidRPr="00A209A6">
        <w:rPr>
          <w:sz w:val="20"/>
          <w:szCs w:val="20"/>
        </w:rPr>
        <w:t>approbation</w:t>
      </w:r>
      <w:r>
        <w:rPr>
          <w:sz w:val="20"/>
          <w:szCs w:val="20"/>
        </w:rPr>
        <w:t>à</w:t>
      </w:r>
      <w:proofErr w:type="spellEnd"/>
      <w:r w:rsidRPr="00A209A6">
        <w:rPr>
          <w:sz w:val="20"/>
          <w:szCs w:val="20"/>
        </w:rPr>
        <w:t>:</w:t>
      </w:r>
    </w:p>
    <w:p w:rsidR="00A209A6" w:rsidRPr="00A209A6" w:rsidRDefault="00A209A6" w:rsidP="00A209A6">
      <w:pPr>
        <w:spacing w:after="0" w:line="240" w:lineRule="auto"/>
        <w:rPr>
          <w:sz w:val="20"/>
          <w:szCs w:val="20"/>
          <w:lang w:val="en-US"/>
        </w:rPr>
      </w:pPr>
      <w:proofErr w:type="spellStart"/>
      <w:proofErr w:type="gramStart"/>
      <w:r w:rsidRPr="00A209A6">
        <w:rPr>
          <w:sz w:val="20"/>
          <w:szCs w:val="20"/>
          <w:lang w:val="en-US"/>
        </w:rPr>
        <w:t>Ing</w:t>
      </w:r>
      <w:proofErr w:type="spellEnd"/>
      <w:r w:rsidRPr="00A209A6">
        <w:rPr>
          <w:sz w:val="20"/>
          <w:szCs w:val="20"/>
          <w:lang w:val="en-US"/>
        </w:rPr>
        <w:t>.</w:t>
      </w:r>
      <w:proofErr w:type="gramEnd"/>
      <w:r w:rsidRPr="00A209A6">
        <w:rPr>
          <w:sz w:val="20"/>
          <w:szCs w:val="20"/>
          <w:lang w:val="en-US"/>
        </w:rPr>
        <w:t xml:space="preserve"> Gonzalo </w:t>
      </w:r>
      <w:proofErr w:type="spellStart"/>
      <w:r w:rsidRPr="00A209A6">
        <w:rPr>
          <w:sz w:val="20"/>
          <w:szCs w:val="20"/>
          <w:lang w:val="en-US"/>
        </w:rPr>
        <w:t>Novelo</w:t>
      </w:r>
      <w:proofErr w:type="spellEnd"/>
      <w:r w:rsidRPr="00A209A6">
        <w:rPr>
          <w:sz w:val="20"/>
          <w:szCs w:val="20"/>
          <w:lang w:val="en-US"/>
        </w:rPr>
        <w:t xml:space="preserve"> </w:t>
      </w:r>
      <w:proofErr w:type="spellStart"/>
      <w:r w:rsidRPr="00A209A6">
        <w:rPr>
          <w:sz w:val="20"/>
          <w:szCs w:val="20"/>
          <w:lang w:val="en-US"/>
        </w:rPr>
        <w:t>Quijano</w:t>
      </w:r>
      <w:proofErr w:type="spellEnd"/>
      <w:proofErr w:type="gramStart"/>
      <w:r w:rsidRPr="00A209A6">
        <w:rPr>
          <w:sz w:val="20"/>
          <w:szCs w:val="20"/>
          <w:lang w:val="en-US"/>
        </w:rPr>
        <w:t>.-</w:t>
      </w:r>
      <w:proofErr w:type="gramEnd"/>
      <w:r w:rsidRPr="00A209A6">
        <w:rPr>
          <w:sz w:val="20"/>
          <w:szCs w:val="20"/>
          <w:lang w:val="en-US"/>
        </w:rPr>
        <w:t xml:space="preserve"> </w:t>
      </w:r>
      <w:proofErr w:type="spellStart"/>
      <w:r w:rsidRPr="00A209A6">
        <w:rPr>
          <w:sz w:val="20"/>
          <w:szCs w:val="20"/>
          <w:lang w:val="en-US"/>
        </w:rPr>
        <w:t>Subgerente</w:t>
      </w:r>
      <w:proofErr w:type="spellEnd"/>
      <w:r w:rsidRPr="00A209A6">
        <w:rPr>
          <w:sz w:val="20"/>
          <w:szCs w:val="20"/>
          <w:lang w:val="en-US"/>
        </w:rPr>
        <w:t xml:space="preserve"> </w:t>
      </w:r>
      <w:proofErr w:type="spellStart"/>
      <w:r w:rsidRPr="00A209A6">
        <w:rPr>
          <w:sz w:val="20"/>
          <w:szCs w:val="20"/>
          <w:lang w:val="en-US"/>
        </w:rPr>
        <w:t>Operativo</w:t>
      </w:r>
      <w:proofErr w:type="spellEnd"/>
    </w:p>
    <w:p w:rsidR="00A209A6" w:rsidRDefault="00A209A6" w:rsidP="00A209A6">
      <w:pPr>
        <w:spacing w:after="0" w:line="240" w:lineRule="auto"/>
        <w:rPr>
          <w:sz w:val="20"/>
          <w:szCs w:val="20"/>
        </w:rPr>
      </w:pPr>
      <w:proofErr w:type="spellStart"/>
      <w:r w:rsidRPr="00A209A6">
        <w:rPr>
          <w:sz w:val="20"/>
          <w:szCs w:val="20"/>
        </w:rPr>
        <w:t>Ing</w:t>
      </w:r>
      <w:proofErr w:type="spellEnd"/>
      <w:r w:rsidRPr="00A209A6">
        <w:rPr>
          <w:sz w:val="20"/>
          <w:szCs w:val="20"/>
        </w:rPr>
        <w:t xml:space="preserve">. Russell Flores </w:t>
      </w:r>
      <w:proofErr w:type="spellStart"/>
      <w:r w:rsidRPr="00A209A6">
        <w:rPr>
          <w:sz w:val="20"/>
          <w:szCs w:val="20"/>
        </w:rPr>
        <w:t>Ayora</w:t>
      </w:r>
      <w:proofErr w:type="spellEnd"/>
      <w:r w:rsidRPr="00A209A6">
        <w:rPr>
          <w:sz w:val="20"/>
          <w:szCs w:val="20"/>
        </w:rPr>
        <w:t xml:space="preserve">.- </w:t>
      </w:r>
      <w:proofErr w:type="spellStart"/>
      <w:r w:rsidRPr="00A209A6">
        <w:rPr>
          <w:sz w:val="20"/>
          <w:szCs w:val="20"/>
        </w:rPr>
        <w:t>Jefe</w:t>
      </w:r>
      <w:proofErr w:type="spellEnd"/>
      <w:r w:rsidRPr="00A209A6">
        <w:rPr>
          <w:sz w:val="20"/>
          <w:szCs w:val="20"/>
        </w:rPr>
        <w:t xml:space="preserve"> de </w:t>
      </w:r>
      <w:proofErr w:type="spellStart"/>
      <w:r w:rsidRPr="00A209A6">
        <w:rPr>
          <w:sz w:val="20"/>
          <w:szCs w:val="20"/>
        </w:rPr>
        <w:t>Conservación</w:t>
      </w:r>
      <w:proofErr w:type="spellEnd"/>
      <w:r w:rsidRPr="00A209A6">
        <w:rPr>
          <w:sz w:val="20"/>
          <w:szCs w:val="20"/>
        </w:rPr>
        <w:t xml:space="preserve"> y </w:t>
      </w:r>
      <w:proofErr w:type="spellStart"/>
      <w:r w:rsidRPr="00A209A6">
        <w:rPr>
          <w:sz w:val="20"/>
          <w:szCs w:val="20"/>
        </w:rPr>
        <w:t>Restauración</w:t>
      </w:r>
      <w:proofErr w:type="spellEnd"/>
    </w:p>
    <w:p w:rsidR="00A209A6" w:rsidRDefault="00A209A6" w:rsidP="00A209A6">
      <w:pPr>
        <w:spacing w:after="0" w:line="240" w:lineRule="auto"/>
        <w:rPr>
          <w:sz w:val="20"/>
          <w:szCs w:val="20"/>
        </w:rPr>
      </w:pPr>
    </w:p>
    <w:p w:rsidR="00563F01" w:rsidRDefault="00563F01" w:rsidP="00A209A6">
      <w:pPr>
        <w:spacing w:after="0" w:line="240" w:lineRule="auto"/>
        <w:rPr>
          <w:sz w:val="20"/>
          <w:szCs w:val="20"/>
        </w:rPr>
      </w:pPr>
      <w:r>
        <w:rPr>
          <w:noProof/>
          <w:sz w:val="24"/>
          <w:szCs w:val="24"/>
          <w:lang w:eastAsia="fr-FR"/>
        </w:rPr>
        <w:drawing>
          <wp:inline distT="0" distB="0" distL="0" distR="0">
            <wp:extent cx="6162675" cy="685800"/>
            <wp:effectExtent l="19050" t="0" r="9525" b="0"/>
            <wp:docPr id="4" name="Image 4"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2"/>
                    <pic:cNvPicPr>
                      <a:picLocks noChangeAspect="1" noChangeArrowheads="1"/>
                    </pic:cNvPicPr>
                  </pic:nvPicPr>
                  <pic:blipFill>
                    <a:blip r:embed="rId7" cstate="print"/>
                    <a:srcRect/>
                    <a:stretch>
                      <a:fillRect/>
                    </a:stretch>
                  </pic:blipFill>
                  <pic:spPr bwMode="auto">
                    <a:xfrm>
                      <a:off x="0" y="0"/>
                      <a:ext cx="6162675" cy="685800"/>
                    </a:xfrm>
                    <a:prstGeom prst="rect">
                      <a:avLst/>
                    </a:prstGeom>
                    <a:noFill/>
                    <a:ln w="9525">
                      <a:noFill/>
                      <a:miter lim="800000"/>
                      <a:headEnd/>
                      <a:tailEnd/>
                    </a:ln>
                  </pic:spPr>
                </pic:pic>
              </a:graphicData>
            </a:graphic>
          </wp:inline>
        </w:drawing>
      </w:r>
    </w:p>
    <w:p w:rsidR="00563F01" w:rsidRDefault="00563F01" w:rsidP="00A209A6">
      <w:pPr>
        <w:spacing w:after="0" w:line="240" w:lineRule="auto"/>
        <w:rPr>
          <w:sz w:val="20"/>
          <w:szCs w:val="20"/>
        </w:rPr>
      </w:pPr>
    </w:p>
    <w:p w:rsidR="00563F01" w:rsidRDefault="00563F01" w:rsidP="00A209A6">
      <w:pPr>
        <w:spacing w:after="0" w:line="240" w:lineRule="auto"/>
        <w:rPr>
          <w:sz w:val="20"/>
          <w:szCs w:val="20"/>
        </w:rPr>
      </w:pPr>
      <w:r>
        <w:rPr>
          <w:sz w:val="20"/>
          <w:szCs w:val="20"/>
        </w:rPr>
        <w:t>Introduction</w:t>
      </w:r>
    </w:p>
    <w:p w:rsidR="00563F01" w:rsidRDefault="00563F01" w:rsidP="00A209A6">
      <w:pPr>
        <w:spacing w:after="0" w:line="240" w:lineRule="auto"/>
        <w:rPr>
          <w:sz w:val="20"/>
          <w:szCs w:val="20"/>
        </w:rPr>
      </w:pPr>
    </w:p>
    <w:p w:rsidR="00A209A6" w:rsidRPr="00A209A6" w:rsidRDefault="00A209A6" w:rsidP="00A209A6">
      <w:pPr>
        <w:spacing w:after="0" w:line="240" w:lineRule="auto"/>
        <w:rPr>
          <w:sz w:val="20"/>
          <w:szCs w:val="20"/>
        </w:rPr>
      </w:pPr>
      <w:r w:rsidRPr="006F1D68">
        <w:rPr>
          <w:sz w:val="20"/>
          <w:szCs w:val="20"/>
        </w:rPr>
        <w:t>Le Ramon (</w:t>
      </w:r>
      <w:proofErr w:type="spellStart"/>
      <w:r w:rsidRPr="006F1D68">
        <w:rPr>
          <w:sz w:val="20"/>
          <w:szCs w:val="20"/>
        </w:rPr>
        <w:t>Brosimum</w:t>
      </w:r>
      <w:proofErr w:type="spellEnd"/>
      <w:r w:rsidRPr="006F1D68">
        <w:rPr>
          <w:sz w:val="20"/>
          <w:szCs w:val="20"/>
        </w:rPr>
        <w:t xml:space="preserve"> </w:t>
      </w:r>
      <w:proofErr w:type="spellStart"/>
      <w:r w:rsidRPr="006F1D68">
        <w:rPr>
          <w:sz w:val="20"/>
          <w:szCs w:val="20"/>
        </w:rPr>
        <w:t>alicastrum</w:t>
      </w:r>
      <w:proofErr w:type="spellEnd"/>
      <w:r w:rsidRPr="006F1D68">
        <w:rPr>
          <w:sz w:val="20"/>
          <w:szCs w:val="20"/>
        </w:rPr>
        <w:t xml:space="preserve"> </w:t>
      </w:r>
      <w:proofErr w:type="spellStart"/>
      <w:r w:rsidRPr="006F1D68">
        <w:rPr>
          <w:sz w:val="20"/>
          <w:szCs w:val="20"/>
        </w:rPr>
        <w:t>Swartz</w:t>
      </w:r>
      <w:proofErr w:type="spellEnd"/>
      <w:r w:rsidRPr="006F1D68">
        <w:rPr>
          <w:sz w:val="20"/>
          <w:szCs w:val="20"/>
        </w:rPr>
        <w:t xml:space="preserve">.) </w:t>
      </w:r>
      <w:r w:rsidRPr="00A209A6">
        <w:rPr>
          <w:sz w:val="20"/>
          <w:szCs w:val="20"/>
        </w:rPr>
        <w:t>Est un arbre à feuilles per</w:t>
      </w:r>
      <w:r w:rsidR="00374CE5">
        <w:rPr>
          <w:sz w:val="20"/>
          <w:szCs w:val="20"/>
        </w:rPr>
        <w:t xml:space="preserve">sistantes, largement connu par les </w:t>
      </w:r>
      <w:r w:rsidRPr="00A209A6">
        <w:rPr>
          <w:sz w:val="20"/>
          <w:szCs w:val="20"/>
        </w:rPr>
        <w:t>résidents de l'État du Yucatan, très prisé pour la possession de l'élevage dans le feuillage</w:t>
      </w:r>
      <w:r w:rsidR="00374CE5">
        <w:rPr>
          <w:sz w:val="20"/>
          <w:szCs w:val="20"/>
        </w:rPr>
        <w:t xml:space="preserve"> </w:t>
      </w:r>
      <w:r w:rsidRPr="00A209A6">
        <w:rPr>
          <w:sz w:val="20"/>
          <w:szCs w:val="20"/>
        </w:rPr>
        <w:t>avec des teneurs élevées en éléments nutritifs pour principalement les bovins et les chèvres et</w:t>
      </w:r>
      <w:r w:rsidR="00374CE5">
        <w:rPr>
          <w:sz w:val="20"/>
          <w:szCs w:val="20"/>
        </w:rPr>
        <w:t xml:space="preserve"> </w:t>
      </w:r>
      <w:r w:rsidRPr="00A209A6">
        <w:rPr>
          <w:sz w:val="20"/>
          <w:szCs w:val="20"/>
        </w:rPr>
        <w:t>pour l'ombre excellente prévu le long de l'année entière dans les parcs, les trottoirs,</w:t>
      </w:r>
    </w:p>
    <w:p w:rsidR="00A209A6" w:rsidRPr="00A209A6" w:rsidRDefault="00A209A6" w:rsidP="00A209A6">
      <w:pPr>
        <w:spacing w:after="0" w:line="240" w:lineRule="auto"/>
        <w:rPr>
          <w:sz w:val="20"/>
          <w:szCs w:val="20"/>
        </w:rPr>
      </w:pPr>
      <w:proofErr w:type="gramStart"/>
      <w:r w:rsidRPr="00A209A6">
        <w:rPr>
          <w:sz w:val="20"/>
          <w:szCs w:val="20"/>
        </w:rPr>
        <w:t>écoles</w:t>
      </w:r>
      <w:proofErr w:type="gramEnd"/>
      <w:r w:rsidRPr="00A209A6">
        <w:rPr>
          <w:sz w:val="20"/>
          <w:szCs w:val="20"/>
        </w:rPr>
        <w:t xml:space="preserve"> d'aménagement paysager, et l'énergie solaire à travers l'état.</w:t>
      </w:r>
    </w:p>
    <w:p w:rsidR="00A209A6" w:rsidRPr="00A209A6" w:rsidRDefault="00A209A6" w:rsidP="00A209A6">
      <w:pPr>
        <w:spacing w:after="0" w:line="240" w:lineRule="auto"/>
        <w:rPr>
          <w:sz w:val="20"/>
          <w:szCs w:val="20"/>
        </w:rPr>
      </w:pPr>
      <w:r w:rsidRPr="00A209A6">
        <w:rPr>
          <w:sz w:val="20"/>
          <w:szCs w:val="20"/>
        </w:rPr>
        <w:t xml:space="preserve">Il représente également un élément écologique important </w:t>
      </w:r>
      <w:r w:rsidR="00374CE5">
        <w:rPr>
          <w:sz w:val="20"/>
          <w:szCs w:val="20"/>
        </w:rPr>
        <w:t xml:space="preserve">dans la composition floristique </w:t>
      </w:r>
      <w:r w:rsidRPr="00A209A6">
        <w:rPr>
          <w:sz w:val="20"/>
          <w:szCs w:val="20"/>
        </w:rPr>
        <w:t xml:space="preserve">des forêts de basse et moyenne, et ses feuilles et fruits alimentaires </w:t>
      </w:r>
      <w:r w:rsidR="00374CE5">
        <w:rPr>
          <w:sz w:val="20"/>
          <w:szCs w:val="20"/>
        </w:rPr>
        <w:t xml:space="preserve">pour les animaux et les oiseaux </w:t>
      </w:r>
      <w:r w:rsidRPr="00A209A6">
        <w:rPr>
          <w:sz w:val="20"/>
          <w:szCs w:val="20"/>
        </w:rPr>
        <w:t>sauvage.</w:t>
      </w:r>
    </w:p>
    <w:p w:rsidR="00A209A6" w:rsidRPr="00A209A6" w:rsidRDefault="00A209A6" w:rsidP="00A209A6">
      <w:pPr>
        <w:spacing w:after="0" w:line="240" w:lineRule="auto"/>
        <w:rPr>
          <w:sz w:val="20"/>
          <w:szCs w:val="20"/>
        </w:rPr>
      </w:pPr>
      <w:r w:rsidRPr="00A209A6">
        <w:rPr>
          <w:sz w:val="20"/>
          <w:szCs w:val="20"/>
        </w:rPr>
        <w:t>Compte tenu de l'importance de cette espèce dans l'État, la Commission nationale des forêts (CONAFOR)</w:t>
      </w:r>
      <w:r w:rsidR="00374CE5">
        <w:rPr>
          <w:sz w:val="20"/>
          <w:szCs w:val="20"/>
        </w:rPr>
        <w:t xml:space="preserve"> </w:t>
      </w:r>
      <w:r w:rsidR="006F1D68">
        <w:rPr>
          <w:sz w:val="20"/>
          <w:szCs w:val="20"/>
        </w:rPr>
        <w:t xml:space="preserve">a </w:t>
      </w:r>
      <w:r w:rsidRPr="00A209A6">
        <w:rPr>
          <w:sz w:val="20"/>
          <w:szCs w:val="20"/>
        </w:rPr>
        <w:t xml:space="preserve"> défini</w:t>
      </w:r>
      <w:r w:rsidR="006F1D68">
        <w:rPr>
          <w:sz w:val="20"/>
          <w:szCs w:val="20"/>
        </w:rPr>
        <w:t xml:space="preserve"> le </w:t>
      </w:r>
      <w:r w:rsidR="006F1D68" w:rsidRPr="00A209A6">
        <w:rPr>
          <w:sz w:val="20"/>
          <w:szCs w:val="20"/>
        </w:rPr>
        <w:t>Ramon</w:t>
      </w:r>
      <w:r w:rsidRPr="00A209A6">
        <w:rPr>
          <w:sz w:val="20"/>
          <w:szCs w:val="20"/>
        </w:rPr>
        <w:t xml:space="preserve"> comme une espèce prioritaire pour leur</w:t>
      </w:r>
      <w:r w:rsidR="00374CE5">
        <w:rPr>
          <w:sz w:val="20"/>
          <w:szCs w:val="20"/>
        </w:rPr>
        <w:t xml:space="preserve">s programmes de conservation et </w:t>
      </w:r>
      <w:r w:rsidRPr="00A209A6">
        <w:rPr>
          <w:sz w:val="20"/>
          <w:szCs w:val="20"/>
        </w:rPr>
        <w:t xml:space="preserve">Restauration des écosystèmes forestiers et </w:t>
      </w:r>
      <w:r w:rsidR="006F1D68">
        <w:rPr>
          <w:sz w:val="20"/>
          <w:szCs w:val="20"/>
        </w:rPr>
        <w:t xml:space="preserve">il </w:t>
      </w:r>
      <w:r w:rsidRPr="00A209A6">
        <w:rPr>
          <w:sz w:val="20"/>
          <w:szCs w:val="20"/>
        </w:rPr>
        <w:t>a été propos</w:t>
      </w:r>
      <w:r w:rsidR="006F1D68">
        <w:rPr>
          <w:sz w:val="20"/>
          <w:szCs w:val="20"/>
        </w:rPr>
        <w:t>é,</w:t>
      </w:r>
      <w:r w:rsidR="00374CE5">
        <w:rPr>
          <w:sz w:val="20"/>
          <w:szCs w:val="20"/>
        </w:rPr>
        <w:t xml:space="preserve"> comme objectif à court terme</w:t>
      </w:r>
      <w:r w:rsidR="006F1D68">
        <w:rPr>
          <w:sz w:val="20"/>
          <w:szCs w:val="20"/>
        </w:rPr>
        <w:t>, la</w:t>
      </w:r>
      <w:r w:rsidR="00374CE5">
        <w:rPr>
          <w:sz w:val="20"/>
          <w:szCs w:val="20"/>
        </w:rPr>
        <w:t xml:space="preserve"> </w:t>
      </w:r>
      <w:r w:rsidRPr="00A209A6">
        <w:rPr>
          <w:sz w:val="20"/>
          <w:szCs w:val="20"/>
        </w:rPr>
        <w:t>Gestion de l'identification, la conservation et le développement durable du matériel génétique.</w:t>
      </w:r>
    </w:p>
    <w:p w:rsidR="00A209A6" w:rsidRPr="00A209A6" w:rsidRDefault="00A209A6" w:rsidP="00A209A6">
      <w:pPr>
        <w:spacing w:after="0" w:line="240" w:lineRule="auto"/>
        <w:rPr>
          <w:sz w:val="20"/>
          <w:szCs w:val="20"/>
        </w:rPr>
      </w:pPr>
      <w:r w:rsidRPr="00A209A6">
        <w:rPr>
          <w:sz w:val="20"/>
          <w:szCs w:val="20"/>
        </w:rPr>
        <w:t>Par conséquent, dans le cadre de la stratégie pour atteind</w:t>
      </w:r>
      <w:r w:rsidR="00374CE5">
        <w:rPr>
          <w:sz w:val="20"/>
          <w:szCs w:val="20"/>
        </w:rPr>
        <w:t xml:space="preserve">re cet objectif depuis 2008, le </w:t>
      </w:r>
      <w:r w:rsidRPr="00A209A6">
        <w:rPr>
          <w:sz w:val="20"/>
          <w:szCs w:val="20"/>
        </w:rPr>
        <w:t>Programme des semences forestières a commencé avec</w:t>
      </w:r>
      <w:r w:rsidR="00374CE5">
        <w:rPr>
          <w:sz w:val="20"/>
          <w:szCs w:val="20"/>
        </w:rPr>
        <w:t xml:space="preserve"> l'identification des spécimens </w:t>
      </w:r>
      <w:r w:rsidRPr="00A209A6">
        <w:rPr>
          <w:sz w:val="20"/>
          <w:szCs w:val="20"/>
        </w:rPr>
        <w:t>présenter les meilleures caractéristiques phénotypiques être évalués et d'être</w:t>
      </w:r>
    </w:p>
    <w:p w:rsidR="00A209A6" w:rsidRPr="00A209A6" w:rsidRDefault="00A209A6" w:rsidP="00A209A6">
      <w:pPr>
        <w:spacing w:after="0" w:line="240" w:lineRule="auto"/>
        <w:rPr>
          <w:sz w:val="20"/>
          <w:szCs w:val="20"/>
        </w:rPr>
      </w:pPr>
      <w:proofErr w:type="gramStart"/>
      <w:r w:rsidRPr="00A209A6">
        <w:rPr>
          <w:sz w:val="20"/>
          <w:szCs w:val="20"/>
        </w:rPr>
        <w:t>proposé</w:t>
      </w:r>
      <w:proofErr w:type="gramEnd"/>
      <w:r w:rsidRPr="00A209A6">
        <w:rPr>
          <w:sz w:val="20"/>
          <w:szCs w:val="20"/>
        </w:rPr>
        <w:t xml:space="preserve"> comme unités forestières production </w:t>
      </w:r>
      <w:r w:rsidR="00374CE5">
        <w:rPr>
          <w:sz w:val="20"/>
          <w:szCs w:val="20"/>
        </w:rPr>
        <w:t xml:space="preserve">de semences (UPGF) dans l'état, </w:t>
      </w:r>
      <w:r w:rsidRPr="00A209A6">
        <w:rPr>
          <w:sz w:val="20"/>
          <w:szCs w:val="20"/>
        </w:rPr>
        <w:t>ces unités sera officiellement enregistrée auprès des autorités compétentes.</w:t>
      </w:r>
    </w:p>
    <w:p w:rsidR="00A209A6" w:rsidRPr="00A209A6" w:rsidRDefault="00A209A6" w:rsidP="00A209A6">
      <w:pPr>
        <w:spacing w:after="0" w:line="240" w:lineRule="auto"/>
        <w:rPr>
          <w:sz w:val="20"/>
          <w:szCs w:val="20"/>
        </w:rPr>
      </w:pPr>
      <w:r w:rsidRPr="00A209A6">
        <w:rPr>
          <w:sz w:val="20"/>
          <w:szCs w:val="20"/>
        </w:rPr>
        <w:t xml:space="preserve">Comme il n'y a UPGF suffisante immatriculé dans </w:t>
      </w:r>
      <w:r w:rsidR="00374CE5">
        <w:rPr>
          <w:sz w:val="20"/>
          <w:szCs w:val="20"/>
        </w:rPr>
        <w:t xml:space="preserve">l'État répondra à la demande </w:t>
      </w:r>
      <w:r w:rsidRPr="00A209A6">
        <w:rPr>
          <w:sz w:val="20"/>
          <w:szCs w:val="20"/>
        </w:rPr>
        <w:t xml:space="preserve">qualité de la forêt </w:t>
      </w:r>
      <w:proofErr w:type="gramStart"/>
      <w:r w:rsidRPr="00A209A6">
        <w:rPr>
          <w:sz w:val="20"/>
          <w:szCs w:val="20"/>
        </w:rPr>
        <w:t>matériel</w:t>
      </w:r>
      <w:proofErr w:type="gramEnd"/>
      <w:r w:rsidRPr="00A209A6">
        <w:rPr>
          <w:sz w:val="20"/>
          <w:szCs w:val="20"/>
        </w:rPr>
        <w:t xml:space="preserve"> génétique courant nécessair</w:t>
      </w:r>
      <w:r w:rsidR="00374CE5">
        <w:rPr>
          <w:sz w:val="20"/>
          <w:szCs w:val="20"/>
        </w:rPr>
        <w:t xml:space="preserve">e pour la production de plantes </w:t>
      </w:r>
      <w:r w:rsidRPr="00A209A6">
        <w:rPr>
          <w:sz w:val="20"/>
          <w:szCs w:val="20"/>
        </w:rPr>
        <w:t>utilisé</w:t>
      </w:r>
      <w:r w:rsidR="00374CE5">
        <w:rPr>
          <w:sz w:val="20"/>
          <w:szCs w:val="20"/>
        </w:rPr>
        <w:t>e</w:t>
      </w:r>
      <w:r w:rsidRPr="00A209A6">
        <w:rPr>
          <w:sz w:val="20"/>
          <w:szCs w:val="20"/>
        </w:rPr>
        <w:t>s dans les programmes de reboisement, mise en œ</w:t>
      </w:r>
      <w:r w:rsidR="00374CE5">
        <w:rPr>
          <w:sz w:val="20"/>
          <w:szCs w:val="20"/>
        </w:rPr>
        <w:t xml:space="preserve">uvre par le CONAFOR et d'autres </w:t>
      </w:r>
      <w:r w:rsidRPr="00A209A6">
        <w:rPr>
          <w:sz w:val="20"/>
          <w:szCs w:val="20"/>
        </w:rPr>
        <w:t>les agences gouvernementales ou des organisations de toutes sortes.</w:t>
      </w:r>
    </w:p>
    <w:p w:rsidR="00A209A6" w:rsidRPr="00A209A6" w:rsidRDefault="00A209A6" w:rsidP="00A209A6">
      <w:pPr>
        <w:spacing w:after="0" w:line="240" w:lineRule="auto"/>
        <w:rPr>
          <w:sz w:val="20"/>
          <w:szCs w:val="20"/>
        </w:rPr>
      </w:pPr>
      <w:r w:rsidRPr="00A209A6">
        <w:rPr>
          <w:sz w:val="20"/>
          <w:szCs w:val="20"/>
        </w:rPr>
        <w:t>Par conséquent, dans le cadre de ce processus d'obtention</w:t>
      </w:r>
      <w:r w:rsidR="00374CE5">
        <w:rPr>
          <w:sz w:val="20"/>
          <w:szCs w:val="20"/>
        </w:rPr>
        <w:t xml:space="preserve"> de semences de qualité se pose </w:t>
      </w:r>
      <w:r w:rsidRPr="00A209A6">
        <w:rPr>
          <w:sz w:val="20"/>
          <w:szCs w:val="20"/>
        </w:rPr>
        <w:t>besoin pour le stockage d'une collection Protocole</w:t>
      </w:r>
      <w:r w:rsidR="00374CE5">
        <w:rPr>
          <w:sz w:val="20"/>
          <w:szCs w:val="20"/>
        </w:rPr>
        <w:t xml:space="preserve">, des avantages et des semences </w:t>
      </w:r>
      <w:r w:rsidRPr="00A209A6">
        <w:rPr>
          <w:sz w:val="20"/>
          <w:szCs w:val="20"/>
        </w:rPr>
        <w:t>de Ramon. Le protocole est un document technique qui définit les actions</w:t>
      </w:r>
    </w:p>
    <w:p w:rsidR="00A209A6" w:rsidRPr="00A209A6" w:rsidRDefault="00A209A6" w:rsidP="00A209A6">
      <w:pPr>
        <w:spacing w:after="0" w:line="240" w:lineRule="auto"/>
        <w:rPr>
          <w:sz w:val="20"/>
          <w:szCs w:val="20"/>
        </w:rPr>
      </w:pPr>
      <w:proofErr w:type="gramStart"/>
      <w:r w:rsidRPr="00A209A6">
        <w:rPr>
          <w:sz w:val="20"/>
          <w:szCs w:val="20"/>
        </w:rPr>
        <w:t>de</w:t>
      </w:r>
      <w:proofErr w:type="gramEnd"/>
      <w:r w:rsidRPr="00A209A6">
        <w:rPr>
          <w:sz w:val="20"/>
          <w:szCs w:val="20"/>
        </w:rPr>
        <w:t xml:space="preserve"> le faire correctement et efficacement dans toutes les activités.</w:t>
      </w:r>
    </w:p>
    <w:p w:rsidR="00A209A6" w:rsidRPr="00A209A6" w:rsidRDefault="00A209A6" w:rsidP="00A209A6">
      <w:pPr>
        <w:spacing w:after="0" w:line="240" w:lineRule="auto"/>
        <w:rPr>
          <w:sz w:val="20"/>
          <w:szCs w:val="20"/>
        </w:rPr>
      </w:pPr>
      <w:r w:rsidRPr="00A209A6">
        <w:rPr>
          <w:sz w:val="20"/>
          <w:szCs w:val="20"/>
        </w:rPr>
        <w:t xml:space="preserve">Les informations visées dans le document </w:t>
      </w:r>
      <w:r>
        <w:rPr>
          <w:sz w:val="20"/>
          <w:szCs w:val="20"/>
        </w:rPr>
        <w:t>sont</w:t>
      </w:r>
      <w:r w:rsidRPr="00A209A6">
        <w:rPr>
          <w:sz w:val="20"/>
          <w:szCs w:val="20"/>
        </w:rPr>
        <w:t xml:space="preserve"> compilé</w:t>
      </w:r>
      <w:r>
        <w:rPr>
          <w:sz w:val="20"/>
          <w:szCs w:val="20"/>
        </w:rPr>
        <w:t>es</w:t>
      </w:r>
      <w:r w:rsidRPr="00A209A6">
        <w:rPr>
          <w:sz w:val="20"/>
          <w:szCs w:val="20"/>
        </w:rPr>
        <w:t xml:space="preserve"> </w:t>
      </w:r>
      <w:r w:rsidR="00374CE5">
        <w:rPr>
          <w:sz w:val="20"/>
          <w:szCs w:val="20"/>
        </w:rPr>
        <w:t xml:space="preserve">à partir des expériences vécues </w:t>
      </w:r>
      <w:r w:rsidRPr="00A209A6">
        <w:rPr>
          <w:sz w:val="20"/>
          <w:szCs w:val="20"/>
        </w:rPr>
        <w:t xml:space="preserve">la région, a exprimé dans un langage simple </w:t>
      </w:r>
      <w:r w:rsidR="00374CE5">
        <w:rPr>
          <w:sz w:val="20"/>
          <w:szCs w:val="20"/>
        </w:rPr>
        <w:t xml:space="preserve">pour être facilement compris et </w:t>
      </w:r>
      <w:r w:rsidRPr="00A209A6">
        <w:rPr>
          <w:sz w:val="20"/>
          <w:szCs w:val="20"/>
        </w:rPr>
        <w:t>distribué parmi les personnes impliquées dans les activités de collecte, de stockage</w:t>
      </w:r>
    </w:p>
    <w:p w:rsidR="00A209A6" w:rsidRPr="00A209A6" w:rsidRDefault="00A209A6" w:rsidP="00A209A6">
      <w:pPr>
        <w:spacing w:after="0" w:line="240" w:lineRule="auto"/>
        <w:rPr>
          <w:sz w:val="20"/>
          <w:szCs w:val="20"/>
        </w:rPr>
      </w:pPr>
      <w:proofErr w:type="gramStart"/>
      <w:r w:rsidRPr="00A209A6">
        <w:rPr>
          <w:sz w:val="20"/>
          <w:szCs w:val="20"/>
        </w:rPr>
        <w:t>la</w:t>
      </w:r>
      <w:proofErr w:type="gramEnd"/>
      <w:r w:rsidRPr="00A209A6">
        <w:rPr>
          <w:sz w:val="20"/>
          <w:szCs w:val="20"/>
        </w:rPr>
        <w:t xml:space="preserve"> forêt du matériel génétique, la production végétale et le reboisement.</w:t>
      </w:r>
    </w:p>
    <w:p w:rsidR="00A209A6" w:rsidRDefault="00A209A6" w:rsidP="00A209A6">
      <w:pPr>
        <w:spacing w:after="0" w:line="240" w:lineRule="auto"/>
        <w:rPr>
          <w:sz w:val="20"/>
          <w:szCs w:val="20"/>
        </w:rPr>
      </w:pPr>
      <w:r w:rsidRPr="00A209A6">
        <w:rPr>
          <w:sz w:val="20"/>
          <w:szCs w:val="20"/>
        </w:rPr>
        <w:t>Cette proposition de protocole est structuré</w:t>
      </w:r>
      <w:r>
        <w:rPr>
          <w:sz w:val="20"/>
          <w:szCs w:val="20"/>
        </w:rPr>
        <w:t>e</w:t>
      </w:r>
      <w:r w:rsidRPr="00A209A6">
        <w:rPr>
          <w:sz w:val="20"/>
          <w:szCs w:val="20"/>
        </w:rPr>
        <w:t xml:space="preserve"> comme </w:t>
      </w:r>
      <w:r w:rsidR="00374CE5">
        <w:rPr>
          <w:sz w:val="20"/>
          <w:szCs w:val="20"/>
        </w:rPr>
        <w:t xml:space="preserve">suit: 1) Informations générales </w:t>
      </w:r>
      <w:r w:rsidRPr="00A209A6">
        <w:rPr>
          <w:sz w:val="20"/>
          <w:szCs w:val="20"/>
        </w:rPr>
        <w:t>des espèces, 2) la collecte de fruits, 3) servir de fruits et de graines, 4) le stockage</w:t>
      </w:r>
      <w:r w:rsidR="00374CE5">
        <w:rPr>
          <w:sz w:val="20"/>
          <w:szCs w:val="20"/>
        </w:rPr>
        <w:t xml:space="preserve"> des </w:t>
      </w:r>
      <w:r w:rsidRPr="00A209A6">
        <w:rPr>
          <w:sz w:val="20"/>
          <w:szCs w:val="20"/>
        </w:rPr>
        <w:t>semences et 5) l'analyse physique et physiologique fait pour les graines stockées.</w:t>
      </w:r>
    </w:p>
    <w:p w:rsidR="00374CE5" w:rsidRDefault="00374CE5" w:rsidP="00A209A6">
      <w:pPr>
        <w:spacing w:after="0" w:line="240" w:lineRule="auto"/>
        <w:rPr>
          <w:sz w:val="20"/>
          <w:szCs w:val="20"/>
        </w:rPr>
      </w:pPr>
    </w:p>
    <w:p w:rsidR="00563F01" w:rsidRDefault="00563F01" w:rsidP="00A209A6">
      <w:pPr>
        <w:spacing w:after="0" w:line="240" w:lineRule="auto"/>
        <w:rPr>
          <w:sz w:val="20"/>
          <w:szCs w:val="20"/>
        </w:rPr>
      </w:pPr>
    </w:p>
    <w:p w:rsidR="00374CE5" w:rsidRDefault="00374CE5" w:rsidP="00A209A6">
      <w:pPr>
        <w:spacing w:after="0" w:line="240" w:lineRule="auto"/>
        <w:rPr>
          <w:sz w:val="20"/>
          <w:szCs w:val="20"/>
        </w:rPr>
      </w:pPr>
    </w:p>
    <w:p w:rsidR="00374CE5" w:rsidRPr="00374CE5" w:rsidRDefault="00374CE5" w:rsidP="00374CE5">
      <w:pPr>
        <w:spacing w:after="0" w:line="240" w:lineRule="auto"/>
        <w:rPr>
          <w:sz w:val="20"/>
          <w:szCs w:val="20"/>
        </w:rPr>
      </w:pPr>
      <w:r>
        <w:rPr>
          <w:sz w:val="20"/>
          <w:szCs w:val="20"/>
        </w:rPr>
        <w:t xml:space="preserve">CONTENU                                                                                                </w:t>
      </w:r>
      <w:r w:rsidRPr="00374CE5">
        <w:rPr>
          <w:sz w:val="20"/>
          <w:szCs w:val="20"/>
        </w:rPr>
        <w:t>PAG</w:t>
      </w:r>
      <w:r>
        <w:rPr>
          <w:sz w:val="20"/>
          <w:szCs w:val="20"/>
        </w:rPr>
        <w:t>E</w:t>
      </w:r>
    </w:p>
    <w:p w:rsidR="00374CE5" w:rsidRPr="00374CE5" w:rsidRDefault="00374CE5" w:rsidP="00374CE5">
      <w:pPr>
        <w:spacing w:after="0" w:line="240" w:lineRule="auto"/>
        <w:rPr>
          <w:sz w:val="20"/>
          <w:szCs w:val="20"/>
        </w:rPr>
      </w:pPr>
      <w:r w:rsidRPr="00374CE5">
        <w:rPr>
          <w:sz w:val="20"/>
          <w:szCs w:val="20"/>
        </w:rPr>
        <w:t>l. INTRODUCTION .................................................................................... 1</w:t>
      </w:r>
    </w:p>
    <w:p w:rsidR="00374CE5" w:rsidRPr="00374CE5" w:rsidRDefault="00374CE5" w:rsidP="00374CE5">
      <w:pPr>
        <w:spacing w:after="0" w:line="240" w:lineRule="auto"/>
        <w:rPr>
          <w:sz w:val="20"/>
          <w:szCs w:val="20"/>
        </w:rPr>
      </w:pPr>
      <w:proofErr w:type="spellStart"/>
      <w:proofErr w:type="gramStart"/>
      <w:r w:rsidRPr="00374CE5">
        <w:rPr>
          <w:sz w:val="20"/>
          <w:szCs w:val="20"/>
        </w:rPr>
        <w:t>ll</w:t>
      </w:r>
      <w:proofErr w:type="spellEnd"/>
      <w:proofErr w:type="gramEnd"/>
      <w:r w:rsidRPr="00374CE5">
        <w:rPr>
          <w:sz w:val="20"/>
          <w:szCs w:val="20"/>
        </w:rPr>
        <w:t>. RAMON APERÇU .................................................... 2</w:t>
      </w:r>
    </w:p>
    <w:p w:rsidR="00374CE5" w:rsidRPr="00374CE5" w:rsidRDefault="00374CE5" w:rsidP="00374CE5">
      <w:pPr>
        <w:spacing w:after="0" w:line="240" w:lineRule="auto"/>
        <w:rPr>
          <w:sz w:val="20"/>
          <w:szCs w:val="20"/>
        </w:rPr>
      </w:pPr>
      <w:proofErr w:type="spellStart"/>
      <w:r w:rsidRPr="00374CE5">
        <w:rPr>
          <w:sz w:val="20"/>
          <w:szCs w:val="20"/>
        </w:rPr>
        <w:t>lll</w:t>
      </w:r>
      <w:proofErr w:type="spellEnd"/>
      <w:r w:rsidRPr="00374CE5">
        <w:rPr>
          <w:sz w:val="20"/>
          <w:szCs w:val="20"/>
        </w:rPr>
        <w:t>. Collecte des fruits .................................................................... 5</w:t>
      </w:r>
    </w:p>
    <w:p w:rsidR="00374CE5" w:rsidRPr="00374CE5" w:rsidRDefault="00374CE5" w:rsidP="00374CE5">
      <w:pPr>
        <w:spacing w:after="0" w:line="240" w:lineRule="auto"/>
        <w:rPr>
          <w:sz w:val="20"/>
          <w:szCs w:val="20"/>
        </w:rPr>
      </w:pPr>
      <w:proofErr w:type="spellStart"/>
      <w:r w:rsidRPr="00374CE5">
        <w:rPr>
          <w:sz w:val="20"/>
          <w:szCs w:val="20"/>
        </w:rPr>
        <w:t>lV</w:t>
      </w:r>
      <w:proofErr w:type="spellEnd"/>
      <w:r w:rsidRPr="00374CE5">
        <w:rPr>
          <w:sz w:val="20"/>
          <w:szCs w:val="20"/>
        </w:rPr>
        <w:t>. PRESTATION DE GRAINES ................................................................. 8</w:t>
      </w:r>
    </w:p>
    <w:p w:rsidR="00374CE5" w:rsidRPr="00374CE5" w:rsidRDefault="00374CE5" w:rsidP="00374CE5">
      <w:pPr>
        <w:spacing w:after="0" w:line="240" w:lineRule="auto"/>
        <w:rPr>
          <w:sz w:val="20"/>
          <w:szCs w:val="20"/>
        </w:rPr>
      </w:pPr>
      <w:r w:rsidRPr="00374CE5">
        <w:rPr>
          <w:sz w:val="20"/>
          <w:szCs w:val="20"/>
        </w:rPr>
        <w:lastRenderedPageBreak/>
        <w:t>V. STOCKAGE DES SEMENCES ..................................................... 10</w:t>
      </w:r>
    </w:p>
    <w:p w:rsidR="00374CE5" w:rsidRPr="00374CE5" w:rsidRDefault="00374CE5" w:rsidP="00374CE5">
      <w:pPr>
        <w:spacing w:after="0" w:line="240" w:lineRule="auto"/>
        <w:rPr>
          <w:sz w:val="20"/>
          <w:szCs w:val="20"/>
        </w:rPr>
      </w:pPr>
      <w:r w:rsidRPr="00374CE5">
        <w:rPr>
          <w:sz w:val="20"/>
          <w:szCs w:val="20"/>
        </w:rPr>
        <w:t>VI. TYPES D'ANALYSE fait beaucoup de GRAINES DE RAMON</w:t>
      </w:r>
    </w:p>
    <w:p w:rsidR="00374CE5" w:rsidRPr="00374CE5" w:rsidRDefault="00374CE5" w:rsidP="00374CE5">
      <w:pPr>
        <w:spacing w:after="0" w:line="240" w:lineRule="auto"/>
        <w:rPr>
          <w:sz w:val="20"/>
          <w:szCs w:val="20"/>
        </w:rPr>
      </w:pPr>
      <w:r w:rsidRPr="006F1D68">
        <w:rPr>
          <w:sz w:val="20"/>
          <w:szCs w:val="20"/>
          <w:lang w:val="en-GB"/>
        </w:rPr>
        <w:t>STOCKAGE EN GENEBANK "</w:t>
      </w:r>
      <w:proofErr w:type="spellStart"/>
      <w:r w:rsidRPr="006F1D68">
        <w:rPr>
          <w:sz w:val="20"/>
          <w:szCs w:val="20"/>
          <w:lang w:val="en-GB"/>
        </w:rPr>
        <w:t>Tecoh</w:t>
      </w:r>
      <w:proofErr w:type="spellEnd"/>
      <w:r w:rsidRPr="006F1D68">
        <w:rPr>
          <w:sz w:val="20"/>
          <w:szCs w:val="20"/>
          <w:lang w:val="en-GB"/>
        </w:rPr>
        <w:t xml:space="preserve"> SAN JOSE" ............ </w:t>
      </w:r>
      <w:r w:rsidRPr="00374CE5">
        <w:rPr>
          <w:sz w:val="20"/>
          <w:szCs w:val="20"/>
        </w:rPr>
        <w:t>10</w:t>
      </w:r>
    </w:p>
    <w:p w:rsidR="00374CE5" w:rsidRPr="00374CE5" w:rsidRDefault="00374CE5" w:rsidP="00374CE5">
      <w:pPr>
        <w:spacing w:after="0" w:line="240" w:lineRule="auto"/>
        <w:rPr>
          <w:sz w:val="20"/>
          <w:szCs w:val="20"/>
        </w:rPr>
      </w:pPr>
      <w:r w:rsidRPr="00374CE5">
        <w:rPr>
          <w:sz w:val="20"/>
          <w:szCs w:val="20"/>
        </w:rPr>
        <w:t>      ANALYSE PHYSIQUE 6,1 ........................................................................... 11</w:t>
      </w:r>
    </w:p>
    <w:p w:rsidR="00374CE5" w:rsidRDefault="00374CE5" w:rsidP="00374CE5">
      <w:pPr>
        <w:spacing w:after="0" w:line="240" w:lineRule="auto"/>
        <w:rPr>
          <w:sz w:val="20"/>
          <w:szCs w:val="20"/>
        </w:rPr>
      </w:pPr>
      <w:r w:rsidRPr="00374CE5">
        <w:rPr>
          <w:sz w:val="20"/>
          <w:szCs w:val="20"/>
        </w:rPr>
        <w:t>      ANALYSE PHYSIOLOGIQUE .................................................................. 6,2 13</w:t>
      </w:r>
    </w:p>
    <w:p w:rsidR="00374CE5" w:rsidRDefault="00374CE5" w:rsidP="00374CE5">
      <w:pPr>
        <w:spacing w:after="0" w:line="240" w:lineRule="auto"/>
        <w:rPr>
          <w:sz w:val="20"/>
          <w:szCs w:val="20"/>
        </w:rPr>
      </w:pPr>
      <w:r>
        <w:rPr>
          <w:sz w:val="20"/>
          <w:szCs w:val="20"/>
        </w:rPr>
        <w:t>BIBLIOGRAPHIE                                                         17</w:t>
      </w:r>
    </w:p>
    <w:p w:rsidR="00374CE5" w:rsidRDefault="00374CE5">
      <w:pPr>
        <w:rPr>
          <w:sz w:val="20"/>
          <w:szCs w:val="20"/>
        </w:rPr>
      </w:pPr>
    </w:p>
    <w:p w:rsidR="00374CE5" w:rsidRPr="00374CE5" w:rsidRDefault="00374CE5" w:rsidP="00374CE5">
      <w:pPr>
        <w:spacing w:after="0" w:line="240" w:lineRule="auto"/>
        <w:rPr>
          <w:sz w:val="20"/>
          <w:szCs w:val="20"/>
        </w:rPr>
      </w:pPr>
      <w:proofErr w:type="spellStart"/>
      <w:r w:rsidRPr="00374CE5">
        <w:rPr>
          <w:sz w:val="20"/>
          <w:szCs w:val="20"/>
        </w:rPr>
        <w:t>ll</w:t>
      </w:r>
      <w:proofErr w:type="spellEnd"/>
      <w:r w:rsidRPr="00374CE5">
        <w:rPr>
          <w:sz w:val="20"/>
          <w:szCs w:val="20"/>
        </w:rPr>
        <w:t>. INFORMATIONS GÉNÉRALES DE L'ESPÈCE</w:t>
      </w:r>
    </w:p>
    <w:p w:rsidR="00374CE5" w:rsidRPr="00374CE5" w:rsidRDefault="00374CE5" w:rsidP="00374CE5">
      <w:pPr>
        <w:spacing w:after="0" w:line="240" w:lineRule="auto"/>
        <w:rPr>
          <w:sz w:val="20"/>
          <w:szCs w:val="20"/>
        </w:rPr>
      </w:pPr>
      <w:r w:rsidRPr="00374CE5">
        <w:rPr>
          <w:sz w:val="20"/>
          <w:szCs w:val="20"/>
        </w:rPr>
        <w:t xml:space="preserve">Espèce: </w:t>
      </w:r>
      <w:proofErr w:type="spellStart"/>
      <w:r w:rsidRPr="00374CE5">
        <w:rPr>
          <w:sz w:val="20"/>
          <w:szCs w:val="20"/>
        </w:rPr>
        <w:t>Swarts</w:t>
      </w:r>
      <w:proofErr w:type="spellEnd"/>
      <w:r w:rsidRPr="00374CE5">
        <w:rPr>
          <w:sz w:val="20"/>
          <w:szCs w:val="20"/>
        </w:rPr>
        <w:t xml:space="preserve"> </w:t>
      </w:r>
      <w:proofErr w:type="spellStart"/>
      <w:r w:rsidRPr="00374CE5">
        <w:rPr>
          <w:sz w:val="20"/>
          <w:szCs w:val="20"/>
        </w:rPr>
        <w:t>alicastrum</w:t>
      </w:r>
      <w:proofErr w:type="spellEnd"/>
      <w:r w:rsidRPr="00374CE5">
        <w:rPr>
          <w:sz w:val="20"/>
          <w:szCs w:val="20"/>
        </w:rPr>
        <w:t xml:space="preserve"> </w:t>
      </w:r>
      <w:proofErr w:type="spellStart"/>
      <w:r w:rsidRPr="00374CE5">
        <w:rPr>
          <w:sz w:val="20"/>
          <w:szCs w:val="20"/>
        </w:rPr>
        <w:t>Brosimum</w:t>
      </w:r>
      <w:proofErr w:type="spellEnd"/>
      <w:r w:rsidRPr="00374CE5">
        <w:rPr>
          <w:sz w:val="20"/>
          <w:szCs w:val="20"/>
        </w:rPr>
        <w:t>.</w:t>
      </w:r>
    </w:p>
    <w:p w:rsidR="00374CE5" w:rsidRPr="00374CE5" w:rsidRDefault="00374CE5" w:rsidP="00374CE5">
      <w:pPr>
        <w:spacing w:after="0" w:line="240" w:lineRule="auto"/>
        <w:rPr>
          <w:sz w:val="20"/>
          <w:szCs w:val="20"/>
        </w:rPr>
      </w:pPr>
      <w:r w:rsidRPr="00374CE5">
        <w:rPr>
          <w:sz w:val="20"/>
          <w:szCs w:val="20"/>
        </w:rPr>
        <w:t xml:space="preserve">Synonymes: </w:t>
      </w:r>
      <w:proofErr w:type="spellStart"/>
      <w:r w:rsidRPr="00374CE5">
        <w:rPr>
          <w:sz w:val="20"/>
          <w:szCs w:val="20"/>
        </w:rPr>
        <w:t>alicastrum</w:t>
      </w:r>
      <w:proofErr w:type="spellEnd"/>
      <w:r w:rsidRPr="00374CE5">
        <w:rPr>
          <w:sz w:val="20"/>
          <w:szCs w:val="20"/>
        </w:rPr>
        <w:t xml:space="preserve"> </w:t>
      </w:r>
      <w:proofErr w:type="spellStart"/>
      <w:r w:rsidRPr="00374CE5">
        <w:rPr>
          <w:sz w:val="20"/>
          <w:szCs w:val="20"/>
        </w:rPr>
        <w:t>brownie</w:t>
      </w:r>
      <w:proofErr w:type="spellEnd"/>
      <w:r w:rsidRPr="00374CE5">
        <w:rPr>
          <w:sz w:val="20"/>
          <w:szCs w:val="20"/>
        </w:rPr>
        <w:t xml:space="preserve"> </w:t>
      </w:r>
      <w:proofErr w:type="spellStart"/>
      <w:r w:rsidRPr="00374CE5">
        <w:rPr>
          <w:sz w:val="20"/>
          <w:szCs w:val="20"/>
        </w:rPr>
        <w:t>Kuntze</w:t>
      </w:r>
      <w:proofErr w:type="spellEnd"/>
      <w:r w:rsidRPr="00374CE5">
        <w:rPr>
          <w:sz w:val="20"/>
          <w:szCs w:val="20"/>
        </w:rPr>
        <w:t>.</w:t>
      </w:r>
    </w:p>
    <w:p w:rsidR="00374CE5" w:rsidRPr="00374CE5" w:rsidRDefault="00374CE5" w:rsidP="00374CE5">
      <w:pPr>
        <w:spacing w:after="0" w:line="240" w:lineRule="auto"/>
        <w:rPr>
          <w:sz w:val="20"/>
          <w:szCs w:val="20"/>
        </w:rPr>
      </w:pPr>
      <w:r w:rsidRPr="00374CE5">
        <w:rPr>
          <w:sz w:val="20"/>
          <w:szCs w:val="20"/>
        </w:rPr>
        <w:t xml:space="preserve">Famille: </w:t>
      </w:r>
      <w:proofErr w:type="spellStart"/>
      <w:r w:rsidRPr="00374CE5">
        <w:rPr>
          <w:sz w:val="20"/>
          <w:szCs w:val="20"/>
        </w:rPr>
        <w:t>Moraceae</w:t>
      </w:r>
      <w:proofErr w:type="spellEnd"/>
    </w:p>
    <w:p w:rsidR="00374CE5" w:rsidRPr="00374CE5" w:rsidRDefault="00374CE5" w:rsidP="00374CE5">
      <w:pPr>
        <w:spacing w:after="0" w:line="240" w:lineRule="auto"/>
        <w:rPr>
          <w:sz w:val="20"/>
          <w:szCs w:val="20"/>
        </w:rPr>
      </w:pPr>
      <w:r w:rsidRPr="00374CE5">
        <w:rPr>
          <w:sz w:val="20"/>
          <w:szCs w:val="20"/>
        </w:rPr>
        <w:t xml:space="preserve">Nom commun dans la région: Ramon </w:t>
      </w:r>
      <w:proofErr w:type="spellStart"/>
      <w:r w:rsidRPr="00374CE5">
        <w:rPr>
          <w:sz w:val="20"/>
          <w:szCs w:val="20"/>
        </w:rPr>
        <w:t>Oox</w:t>
      </w:r>
      <w:proofErr w:type="spellEnd"/>
      <w:r w:rsidRPr="00374CE5">
        <w:rPr>
          <w:sz w:val="20"/>
          <w:szCs w:val="20"/>
        </w:rPr>
        <w:t xml:space="preserve"> (Maya).</w:t>
      </w:r>
    </w:p>
    <w:p w:rsidR="00374CE5" w:rsidRDefault="00374CE5" w:rsidP="00374CE5">
      <w:pPr>
        <w:spacing w:after="0" w:line="240" w:lineRule="auto"/>
        <w:rPr>
          <w:sz w:val="20"/>
          <w:szCs w:val="20"/>
        </w:rPr>
      </w:pPr>
    </w:p>
    <w:p w:rsidR="00374CE5" w:rsidRPr="00374CE5" w:rsidRDefault="00374CE5" w:rsidP="00374CE5">
      <w:pPr>
        <w:spacing w:after="0" w:line="240" w:lineRule="auto"/>
        <w:rPr>
          <w:sz w:val="20"/>
          <w:szCs w:val="20"/>
        </w:rPr>
      </w:pPr>
      <w:r w:rsidRPr="00374CE5">
        <w:rPr>
          <w:sz w:val="20"/>
          <w:szCs w:val="20"/>
        </w:rPr>
        <w:t>Description générale des espèces</w:t>
      </w:r>
    </w:p>
    <w:p w:rsidR="00374CE5" w:rsidRDefault="00374CE5" w:rsidP="00374CE5">
      <w:pPr>
        <w:spacing w:after="0" w:line="240" w:lineRule="auto"/>
        <w:rPr>
          <w:sz w:val="20"/>
          <w:szCs w:val="20"/>
        </w:rPr>
      </w:pPr>
      <w:r w:rsidRPr="00374CE5">
        <w:rPr>
          <w:sz w:val="20"/>
          <w:szCs w:val="20"/>
        </w:rPr>
        <w:t>Dans l'état du Yucatan Ramon est un arbre à feuilles persistan</w:t>
      </w:r>
      <w:r>
        <w:rPr>
          <w:sz w:val="20"/>
          <w:szCs w:val="20"/>
        </w:rPr>
        <w:t xml:space="preserve">tes de milieu à 12 à 20 grandes </w:t>
      </w:r>
      <w:r w:rsidRPr="00374CE5">
        <w:rPr>
          <w:sz w:val="20"/>
          <w:szCs w:val="20"/>
        </w:rPr>
        <w:t>m de hauteur et le diamètre à hauteur de poitrine d'un m</w:t>
      </w:r>
      <w:r>
        <w:rPr>
          <w:sz w:val="20"/>
          <w:szCs w:val="20"/>
        </w:rPr>
        <w:t xml:space="preserve">aximum de 1 m. Tronc droit avec </w:t>
      </w:r>
      <w:r w:rsidRPr="00374CE5">
        <w:rPr>
          <w:sz w:val="20"/>
          <w:szCs w:val="20"/>
        </w:rPr>
        <w:t>grands contreforts, avec des branches ascendantes et puis de raccroche</w:t>
      </w:r>
      <w:r>
        <w:rPr>
          <w:sz w:val="20"/>
          <w:szCs w:val="20"/>
        </w:rPr>
        <w:t xml:space="preserve">r. Présente pyramidale couronne </w:t>
      </w:r>
      <w:r w:rsidRPr="00374CE5">
        <w:rPr>
          <w:sz w:val="20"/>
          <w:szCs w:val="20"/>
        </w:rPr>
        <w:t>dense. Lisse écorce externe sur les jeunes arbres, et chez les adultes e</w:t>
      </w:r>
      <w:r>
        <w:rPr>
          <w:sz w:val="20"/>
          <w:szCs w:val="20"/>
        </w:rPr>
        <w:t xml:space="preserve">st rugueuse, souvent écailleuse </w:t>
      </w:r>
      <w:r w:rsidRPr="00374CE5">
        <w:rPr>
          <w:sz w:val="20"/>
          <w:szCs w:val="20"/>
        </w:rPr>
        <w:t>gros morceaux et carré, gris clair marron. Crème é</w:t>
      </w:r>
      <w:r>
        <w:rPr>
          <w:sz w:val="20"/>
          <w:szCs w:val="20"/>
        </w:rPr>
        <w:t xml:space="preserve">corce interne </w:t>
      </w:r>
      <w:r w:rsidRPr="00374CE5">
        <w:rPr>
          <w:sz w:val="20"/>
          <w:szCs w:val="20"/>
        </w:rPr>
        <w:t>jaune, fibreuse à granuleuse, avec exsudat laiteux abonda</w:t>
      </w:r>
      <w:r>
        <w:rPr>
          <w:sz w:val="20"/>
          <w:szCs w:val="20"/>
        </w:rPr>
        <w:t xml:space="preserve">nte, légèrement sucré. Feuilles </w:t>
      </w:r>
      <w:r w:rsidRPr="00374CE5">
        <w:rPr>
          <w:sz w:val="20"/>
          <w:szCs w:val="20"/>
        </w:rPr>
        <w:t>simple, alternant vert foncé et</w:t>
      </w:r>
      <w:r w:rsidR="00941E00">
        <w:rPr>
          <w:sz w:val="20"/>
          <w:szCs w:val="20"/>
        </w:rPr>
        <w:t xml:space="preserve"> brillant sur ​​ </w:t>
      </w:r>
      <w:r w:rsidR="00941E00" w:rsidRPr="00941E00">
        <w:rPr>
          <w:sz w:val="20"/>
          <w:szCs w:val="20"/>
        </w:rPr>
        <w:t>lancéolé</w:t>
      </w:r>
      <w:r w:rsidR="00941E00">
        <w:rPr>
          <w:sz w:val="20"/>
          <w:szCs w:val="20"/>
        </w:rPr>
        <w:t xml:space="preserve"> ovale,</w:t>
      </w:r>
      <w:r w:rsidRPr="00374CE5">
        <w:rPr>
          <w:sz w:val="20"/>
          <w:szCs w:val="20"/>
        </w:rPr>
        <w:t xml:space="preserve"> haut et gris sur le dessous, à ovales ou elliptiques (2-7,5 cm de large par 4-18cm de lon</w:t>
      </w:r>
      <w:r>
        <w:rPr>
          <w:sz w:val="20"/>
          <w:szCs w:val="20"/>
        </w:rPr>
        <w:t xml:space="preserve">gueur), apex aigu ou </w:t>
      </w:r>
      <w:r w:rsidRPr="00374CE5">
        <w:rPr>
          <w:sz w:val="20"/>
          <w:szCs w:val="20"/>
        </w:rPr>
        <w:t xml:space="preserve">nettement dans les jeunes feuilles acuminées. Marge entière. </w:t>
      </w:r>
      <w:r>
        <w:rPr>
          <w:sz w:val="20"/>
          <w:szCs w:val="20"/>
        </w:rPr>
        <w:t xml:space="preserve">Le limbe de la feuille présente </w:t>
      </w:r>
      <w:r w:rsidRPr="00374CE5">
        <w:rPr>
          <w:sz w:val="20"/>
          <w:szCs w:val="20"/>
        </w:rPr>
        <w:t xml:space="preserve">Trop souvent, dans le faisceau, des branchies en forme de </w:t>
      </w:r>
      <w:r>
        <w:rPr>
          <w:sz w:val="20"/>
          <w:szCs w:val="20"/>
        </w:rPr>
        <w:t xml:space="preserve">doigts gantés de jaune 3 à 4 mm </w:t>
      </w:r>
      <w:r w:rsidRPr="00374CE5">
        <w:rPr>
          <w:sz w:val="20"/>
          <w:szCs w:val="20"/>
        </w:rPr>
        <w:t>longue. Fleurs dans axillaire dirige 1 cm de diamètre, les esp</w:t>
      </w:r>
      <w:r w:rsidR="00563F01">
        <w:rPr>
          <w:sz w:val="20"/>
          <w:szCs w:val="20"/>
        </w:rPr>
        <w:t xml:space="preserve">èces monoïques, chaque capitule </w:t>
      </w:r>
      <w:r w:rsidRPr="00374CE5">
        <w:rPr>
          <w:sz w:val="20"/>
          <w:szCs w:val="20"/>
        </w:rPr>
        <w:t xml:space="preserve">le vert est dans de nombreux fleurs mâles et une fleur </w:t>
      </w:r>
      <w:r>
        <w:rPr>
          <w:sz w:val="20"/>
          <w:szCs w:val="20"/>
        </w:rPr>
        <w:t xml:space="preserve">femelle. Produire du pollen. </w:t>
      </w:r>
      <w:proofErr w:type="spellStart"/>
      <w:r>
        <w:rPr>
          <w:sz w:val="20"/>
          <w:szCs w:val="20"/>
        </w:rPr>
        <w:t>La</w:t>
      </w:r>
      <w:proofErr w:type="spellEnd"/>
      <w:r>
        <w:rPr>
          <w:sz w:val="20"/>
          <w:szCs w:val="20"/>
        </w:rPr>
        <w:t xml:space="preserve"> </w:t>
      </w:r>
      <w:r w:rsidRPr="00374CE5">
        <w:rPr>
          <w:sz w:val="20"/>
          <w:szCs w:val="20"/>
        </w:rPr>
        <w:t>Le bois a aubier crème jaunâtre (figure 1).</w:t>
      </w:r>
    </w:p>
    <w:p w:rsidR="00563F01" w:rsidRDefault="00563F01" w:rsidP="00374CE5">
      <w:pPr>
        <w:spacing w:after="0" w:line="240" w:lineRule="auto"/>
        <w:rPr>
          <w:sz w:val="20"/>
          <w:szCs w:val="20"/>
        </w:rPr>
      </w:pPr>
    </w:p>
    <w:p w:rsidR="00563F01" w:rsidRDefault="00563F01" w:rsidP="00374CE5">
      <w:pPr>
        <w:spacing w:after="0" w:line="240" w:lineRule="auto"/>
        <w:rPr>
          <w:sz w:val="20"/>
          <w:szCs w:val="20"/>
        </w:rPr>
      </w:pPr>
      <w:r>
        <w:rPr>
          <w:noProof/>
          <w:sz w:val="24"/>
          <w:szCs w:val="24"/>
          <w:lang w:eastAsia="fr-FR"/>
        </w:rPr>
        <w:drawing>
          <wp:inline distT="0" distB="0" distL="0" distR="0">
            <wp:extent cx="5638800" cy="2152650"/>
            <wp:effectExtent l="19050" t="0" r="0" b="0"/>
            <wp:docPr id="7" name="Image 7"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7"/>
                    <pic:cNvPicPr>
                      <a:picLocks noChangeAspect="1" noChangeArrowheads="1"/>
                    </pic:cNvPicPr>
                  </pic:nvPicPr>
                  <pic:blipFill>
                    <a:blip r:embed="rId8" cstate="print"/>
                    <a:srcRect/>
                    <a:stretch>
                      <a:fillRect/>
                    </a:stretch>
                  </pic:blipFill>
                  <pic:spPr bwMode="auto">
                    <a:xfrm>
                      <a:off x="0" y="0"/>
                      <a:ext cx="5638800" cy="2152650"/>
                    </a:xfrm>
                    <a:prstGeom prst="rect">
                      <a:avLst/>
                    </a:prstGeom>
                    <a:noFill/>
                    <a:ln w="9525">
                      <a:noFill/>
                      <a:miter lim="800000"/>
                      <a:headEnd/>
                      <a:tailEnd/>
                    </a:ln>
                  </pic:spPr>
                </pic:pic>
              </a:graphicData>
            </a:graphic>
          </wp:inline>
        </w:drawing>
      </w:r>
    </w:p>
    <w:p w:rsidR="00563F01" w:rsidRDefault="00563F01" w:rsidP="00374CE5">
      <w:pPr>
        <w:spacing w:after="0" w:line="240" w:lineRule="auto"/>
        <w:rPr>
          <w:sz w:val="20"/>
          <w:szCs w:val="20"/>
        </w:rPr>
      </w:pPr>
    </w:p>
    <w:p w:rsidR="00563F01" w:rsidRDefault="00563F01" w:rsidP="00374CE5">
      <w:pPr>
        <w:spacing w:after="0" w:line="240" w:lineRule="auto"/>
        <w:rPr>
          <w:sz w:val="20"/>
          <w:szCs w:val="20"/>
        </w:rPr>
      </w:pPr>
    </w:p>
    <w:p w:rsidR="00C3058A" w:rsidRPr="00C3058A" w:rsidRDefault="00C3058A" w:rsidP="00C3058A">
      <w:pPr>
        <w:spacing w:after="0" w:line="240" w:lineRule="auto"/>
        <w:rPr>
          <w:sz w:val="20"/>
          <w:szCs w:val="20"/>
        </w:rPr>
      </w:pPr>
      <w:r w:rsidRPr="00C3058A">
        <w:rPr>
          <w:sz w:val="20"/>
          <w:szCs w:val="20"/>
        </w:rPr>
        <w:t>Description de fruits et graines</w:t>
      </w:r>
    </w:p>
    <w:p w:rsidR="00C3058A" w:rsidRPr="00C3058A" w:rsidRDefault="00C3058A" w:rsidP="00C3058A">
      <w:pPr>
        <w:spacing w:after="0" w:line="240" w:lineRule="auto"/>
        <w:rPr>
          <w:sz w:val="20"/>
          <w:szCs w:val="20"/>
        </w:rPr>
      </w:pPr>
      <w:r w:rsidRPr="00C3058A">
        <w:rPr>
          <w:sz w:val="20"/>
          <w:szCs w:val="20"/>
        </w:rPr>
        <w:t>Les fruits sont des baies de 2 à 2,5 cm de diamètre, globuleux avec péricarpe charnu, est de couleur verte quand elle est verte verts et jaunâtres à rouge-orangé à maturité, avec le goût doux et de l'odorat. Chaque fruit contient une graine de 1,5 à 2 cm de diamètre recouvert d'un tégument jaunâtre papyracée avec les cotylédons montés l'un au-dessus du goût d'autres édulcorants (Figure 2). Les graines sont classé</w:t>
      </w:r>
      <w:r>
        <w:rPr>
          <w:sz w:val="20"/>
          <w:szCs w:val="20"/>
        </w:rPr>
        <w:t>e</w:t>
      </w:r>
      <w:r w:rsidRPr="00C3058A">
        <w:rPr>
          <w:sz w:val="20"/>
          <w:szCs w:val="20"/>
        </w:rPr>
        <w:t>s comme récalcitrant.</w:t>
      </w:r>
    </w:p>
    <w:p w:rsidR="00C3058A" w:rsidRDefault="00C3058A" w:rsidP="00C3058A">
      <w:pPr>
        <w:spacing w:after="0" w:line="240" w:lineRule="auto"/>
        <w:rPr>
          <w:sz w:val="20"/>
          <w:szCs w:val="20"/>
        </w:rPr>
      </w:pPr>
    </w:p>
    <w:p w:rsidR="00C3058A" w:rsidRDefault="00C3058A" w:rsidP="00C3058A">
      <w:pPr>
        <w:spacing w:after="0" w:line="240" w:lineRule="auto"/>
        <w:rPr>
          <w:sz w:val="20"/>
          <w:szCs w:val="20"/>
        </w:rPr>
      </w:pPr>
      <w:r>
        <w:rPr>
          <w:noProof/>
          <w:sz w:val="24"/>
          <w:szCs w:val="24"/>
          <w:lang w:eastAsia="fr-FR"/>
        </w:rPr>
        <w:drawing>
          <wp:inline distT="0" distB="0" distL="0" distR="0">
            <wp:extent cx="5629275" cy="2133600"/>
            <wp:effectExtent l="19050" t="0" r="9525" b="0"/>
            <wp:docPr id="10" name="Image 10"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35"/>
                    <pic:cNvPicPr>
                      <a:picLocks noChangeAspect="1" noChangeArrowheads="1"/>
                    </pic:cNvPicPr>
                  </pic:nvPicPr>
                  <pic:blipFill>
                    <a:blip r:embed="rId9" cstate="print"/>
                    <a:srcRect/>
                    <a:stretch>
                      <a:fillRect/>
                    </a:stretch>
                  </pic:blipFill>
                  <pic:spPr bwMode="auto">
                    <a:xfrm>
                      <a:off x="0" y="0"/>
                      <a:ext cx="5629275" cy="2133600"/>
                    </a:xfrm>
                    <a:prstGeom prst="rect">
                      <a:avLst/>
                    </a:prstGeom>
                    <a:noFill/>
                    <a:ln w="9525">
                      <a:noFill/>
                      <a:miter lim="800000"/>
                      <a:headEnd/>
                      <a:tailEnd/>
                    </a:ln>
                  </pic:spPr>
                </pic:pic>
              </a:graphicData>
            </a:graphic>
          </wp:inline>
        </w:drawing>
      </w:r>
    </w:p>
    <w:p w:rsidR="00C3058A" w:rsidRPr="00C3058A" w:rsidRDefault="00C3058A" w:rsidP="00C3058A">
      <w:pPr>
        <w:spacing w:after="0" w:line="240" w:lineRule="auto"/>
        <w:rPr>
          <w:sz w:val="20"/>
          <w:szCs w:val="20"/>
        </w:rPr>
      </w:pPr>
      <w:r w:rsidRPr="00C3058A">
        <w:rPr>
          <w:sz w:val="20"/>
          <w:szCs w:val="20"/>
        </w:rPr>
        <w:t>Figure 2. Les fruits immatures, les fruits mûrs et les graines de Ramon.</w:t>
      </w:r>
    </w:p>
    <w:p w:rsidR="00C3058A" w:rsidRDefault="00C3058A" w:rsidP="00C3058A">
      <w:pPr>
        <w:spacing w:after="0" w:line="240" w:lineRule="auto"/>
        <w:rPr>
          <w:sz w:val="20"/>
          <w:szCs w:val="20"/>
        </w:rPr>
      </w:pPr>
    </w:p>
    <w:p w:rsidR="00C3058A" w:rsidRPr="00C3058A" w:rsidRDefault="00C3058A" w:rsidP="00C3058A">
      <w:pPr>
        <w:spacing w:after="0" w:line="240" w:lineRule="auto"/>
        <w:rPr>
          <w:sz w:val="20"/>
          <w:szCs w:val="20"/>
        </w:rPr>
      </w:pPr>
      <w:r>
        <w:rPr>
          <w:sz w:val="20"/>
          <w:szCs w:val="20"/>
        </w:rPr>
        <w:lastRenderedPageBreak/>
        <w:t>Utilisations</w:t>
      </w:r>
    </w:p>
    <w:p w:rsidR="00C3058A" w:rsidRPr="00C3058A" w:rsidRDefault="00C3058A" w:rsidP="00C3058A">
      <w:pPr>
        <w:spacing w:after="0" w:line="240" w:lineRule="auto"/>
        <w:rPr>
          <w:sz w:val="20"/>
          <w:szCs w:val="20"/>
        </w:rPr>
      </w:pPr>
      <w:r w:rsidRPr="00C3058A">
        <w:rPr>
          <w:sz w:val="20"/>
          <w:szCs w:val="20"/>
        </w:rPr>
        <w:t>Au Yucatan Ramon est très apprécié comme un arbre de fourrage. A indiqué que les feuilles sont hautement digestibles (&gt; 60%) et contiennent jusqu'à 13% de protéines. Ce fourrage est donné en nourriture des bovins, des caprins et porcins essentiellement. Il est également considéré médicinal, car le latex est dilué avec de l'eau utilisée pour l'asthme et la bronchite. Une autre utilisation importante dans la région est pour l'ombrage et d'ornement. Le bois n'a pas été utilisé à usage domestique ou commercial.</w:t>
      </w:r>
    </w:p>
    <w:p w:rsidR="00C3058A" w:rsidRDefault="00C3058A" w:rsidP="00C3058A">
      <w:pPr>
        <w:spacing w:after="0" w:line="240" w:lineRule="auto"/>
        <w:rPr>
          <w:sz w:val="20"/>
          <w:szCs w:val="20"/>
        </w:rPr>
      </w:pPr>
    </w:p>
    <w:p w:rsidR="00C3058A" w:rsidRPr="00C3058A" w:rsidRDefault="00C3058A" w:rsidP="00C3058A">
      <w:pPr>
        <w:spacing w:after="0" w:line="240" w:lineRule="auto"/>
        <w:rPr>
          <w:sz w:val="20"/>
          <w:szCs w:val="20"/>
        </w:rPr>
      </w:pPr>
      <w:r>
        <w:rPr>
          <w:sz w:val="20"/>
          <w:szCs w:val="20"/>
        </w:rPr>
        <w:t>D</w:t>
      </w:r>
      <w:r w:rsidRPr="00C3058A">
        <w:rPr>
          <w:sz w:val="20"/>
          <w:szCs w:val="20"/>
        </w:rPr>
        <w:t>istribution</w:t>
      </w:r>
    </w:p>
    <w:p w:rsidR="00C3058A" w:rsidRPr="00C3058A" w:rsidRDefault="00C3058A" w:rsidP="00C3058A">
      <w:pPr>
        <w:spacing w:after="0" w:line="240" w:lineRule="auto"/>
        <w:rPr>
          <w:sz w:val="20"/>
          <w:szCs w:val="20"/>
        </w:rPr>
      </w:pPr>
      <w:r w:rsidRPr="00C3058A">
        <w:rPr>
          <w:sz w:val="20"/>
          <w:szCs w:val="20"/>
        </w:rPr>
        <w:t>Dans l'état du Yucatan Ramon a une aire de répartition naturelle dans le centre, sud et l'est, car il fait partie de la composition de la forêt de feuillus de plaine et forêt de feuillus (Fig. 3).</w:t>
      </w:r>
    </w:p>
    <w:p w:rsidR="00C3058A" w:rsidRDefault="00C3058A" w:rsidP="00C3058A">
      <w:pPr>
        <w:spacing w:after="0" w:line="240" w:lineRule="auto"/>
        <w:rPr>
          <w:sz w:val="20"/>
          <w:szCs w:val="20"/>
        </w:rPr>
      </w:pPr>
      <w:r w:rsidRPr="00C3058A">
        <w:rPr>
          <w:sz w:val="20"/>
          <w:szCs w:val="20"/>
        </w:rPr>
        <w:t>Aujourd'hui, vous pouvez voir des exemples dans presque toutes les parties de l'État, étant une partie importante de la structure des jardins familiaux dans les communautés rurales mayas et comme arbre d'ornement dans les parcs, jardins et espaces verts dans les villes, pour son feuillage persistant.</w:t>
      </w:r>
    </w:p>
    <w:p w:rsidR="00374CE5" w:rsidRDefault="00374CE5" w:rsidP="00374CE5">
      <w:pPr>
        <w:spacing w:after="0" w:line="240" w:lineRule="auto"/>
        <w:rPr>
          <w:sz w:val="20"/>
          <w:szCs w:val="20"/>
        </w:rPr>
      </w:pPr>
    </w:p>
    <w:p w:rsidR="00374CE5" w:rsidRDefault="00C3058A" w:rsidP="00374CE5">
      <w:pPr>
        <w:spacing w:after="0" w:line="240" w:lineRule="auto"/>
        <w:rPr>
          <w:sz w:val="20"/>
          <w:szCs w:val="20"/>
        </w:rPr>
      </w:pPr>
      <w:r>
        <w:rPr>
          <w:noProof/>
          <w:sz w:val="24"/>
          <w:szCs w:val="24"/>
          <w:lang w:eastAsia="fr-FR"/>
        </w:rPr>
        <w:drawing>
          <wp:inline distT="0" distB="0" distL="0" distR="0">
            <wp:extent cx="3733800" cy="2828925"/>
            <wp:effectExtent l="19050" t="0" r="0" b="0"/>
            <wp:docPr id="13" name="Image 13"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8"/>
                    <pic:cNvPicPr>
                      <a:picLocks noChangeAspect="1" noChangeArrowheads="1"/>
                    </pic:cNvPicPr>
                  </pic:nvPicPr>
                  <pic:blipFill>
                    <a:blip r:embed="rId10" cstate="print"/>
                    <a:srcRect/>
                    <a:stretch>
                      <a:fillRect/>
                    </a:stretch>
                  </pic:blipFill>
                  <pic:spPr bwMode="auto">
                    <a:xfrm>
                      <a:off x="0" y="0"/>
                      <a:ext cx="3733800" cy="2828925"/>
                    </a:xfrm>
                    <a:prstGeom prst="rect">
                      <a:avLst/>
                    </a:prstGeom>
                    <a:noFill/>
                    <a:ln w="9525">
                      <a:noFill/>
                      <a:miter lim="800000"/>
                      <a:headEnd/>
                      <a:tailEnd/>
                    </a:ln>
                  </pic:spPr>
                </pic:pic>
              </a:graphicData>
            </a:graphic>
          </wp:inline>
        </w:drawing>
      </w:r>
    </w:p>
    <w:p w:rsidR="00C3058A" w:rsidRDefault="00C3058A" w:rsidP="00374CE5">
      <w:pPr>
        <w:spacing w:after="0" w:line="240" w:lineRule="auto"/>
        <w:rPr>
          <w:sz w:val="20"/>
          <w:szCs w:val="20"/>
        </w:rPr>
      </w:pPr>
    </w:p>
    <w:p w:rsidR="00C3058A" w:rsidRPr="00C3058A" w:rsidRDefault="00C3058A" w:rsidP="00C3058A">
      <w:pPr>
        <w:spacing w:after="0" w:line="240" w:lineRule="auto"/>
        <w:rPr>
          <w:sz w:val="20"/>
          <w:szCs w:val="20"/>
        </w:rPr>
      </w:pPr>
      <w:r w:rsidRPr="00C3058A">
        <w:rPr>
          <w:sz w:val="20"/>
          <w:szCs w:val="20"/>
        </w:rPr>
        <w:t>Figure 3. Ramon arbre dans un peuplement de la forêt tropicale dans la communau</w:t>
      </w:r>
      <w:r>
        <w:rPr>
          <w:sz w:val="20"/>
          <w:szCs w:val="20"/>
        </w:rPr>
        <w:t xml:space="preserve">té de Grande Tigre, la ville de </w:t>
      </w:r>
      <w:proofErr w:type="spellStart"/>
      <w:r w:rsidRPr="00C3058A">
        <w:rPr>
          <w:sz w:val="20"/>
          <w:szCs w:val="20"/>
        </w:rPr>
        <w:t>Tzucacab</w:t>
      </w:r>
      <w:proofErr w:type="spellEnd"/>
      <w:r w:rsidRPr="00C3058A">
        <w:rPr>
          <w:sz w:val="20"/>
          <w:szCs w:val="20"/>
        </w:rPr>
        <w:t>, Yucatan.</w:t>
      </w:r>
    </w:p>
    <w:p w:rsidR="00C3058A" w:rsidRDefault="00C3058A" w:rsidP="00C3058A">
      <w:pPr>
        <w:spacing w:after="0" w:line="240" w:lineRule="auto"/>
        <w:rPr>
          <w:sz w:val="20"/>
          <w:szCs w:val="20"/>
        </w:rPr>
      </w:pPr>
    </w:p>
    <w:p w:rsidR="00C3058A" w:rsidRPr="00C3058A" w:rsidRDefault="00C3058A" w:rsidP="00C3058A">
      <w:pPr>
        <w:spacing w:after="0" w:line="240" w:lineRule="auto"/>
        <w:rPr>
          <w:sz w:val="20"/>
          <w:szCs w:val="20"/>
        </w:rPr>
      </w:pPr>
      <w:r w:rsidRPr="00C3058A">
        <w:rPr>
          <w:sz w:val="20"/>
          <w:szCs w:val="20"/>
        </w:rPr>
        <w:t>Phénologie de Ramon dans le Yucatan</w:t>
      </w:r>
    </w:p>
    <w:p w:rsidR="00C3058A" w:rsidRPr="00C3058A" w:rsidRDefault="00C3058A" w:rsidP="00C3058A">
      <w:pPr>
        <w:spacing w:after="0" w:line="240" w:lineRule="auto"/>
        <w:rPr>
          <w:sz w:val="20"/>
          <w:szCs w:val="20"/>
        </w:rPr>
      </w:pPr>
      <w:r w:rsidRPr="00C3058A">
        <w:rPr>
          <w:sz w:val="20"/>
          <w:szCs w:val="20"/>
        </w:rPr>
        <w:t xml:space="preserve">Feuillage: Le Ramon dans la région </w:t>
      </w:r>
      <w:r w:rsidR="00BF0601">
        <w:rPr>
          <w:sz w:val="20"/>
          <w:szCs w:val="20"/>
        </w:rPr>
        <w:t xml:space="preserve">du </w:t>
      </w:r>
      <w:r w:rsidR="00BF0601" w:rsidRPr="00C3058A">
        <w:rPr>
          <w:sz w:val="20"/>
          <w:szCs w:val="20"/>
        </w:rPr>
        <w:t>Yucatan</w:t>
      </w:r>
      <w:r w:rsidR="00BF0601" w:rsidRPr="00C3058A">
        <w:rPr>
          <w:sz w:val="20"/>
          <w:szCs w:val="20"/>
        </w:rPr>
        <w:t xml:space="preserve"> </w:t>
      </w:r>
      <w:r w:rsidRPr="00C3058A">
        <w:rPr>
          <w:sz w:val="20"/>
          <w:szCs w:val="20"/>
        </w:rPr>
        <w:t>est persistant et il conserve donc son feuillage tout au long de l'année.</w:t>
      </w:r>
    </w:p>
    <w:p w:rsidR="00C3058A" w:rsidRPr="00C3058A" w:rsidRDefault="00C3058A" w:rsidP="00C3058A">
      <w:pPr>
        <w:spacing w:after="0" w:line="240" w:lineRule="auto"/>
        <w:rPr>
          <w:sz w:val="20"/>
          <w:szCs w:val="20"/>
        </w:rPr>
      </w:pPr>
      <w:r w:rsidRPr="00C3058A">
        <w:rPr>
          <w:sz w:val="20"/>
          <w:szCs w:val="20"/>
        </w:rPr>
        <w:t>Floraison: dans l'état</w:t>
      </w:r>
      <w:r w:rsidR="00BF0601">
        <w:rPr>
          <w:sz w:val="20"/>
          <w:szCs w:val="20"/>
        </w:rPr>
        <w:t xml:space="preserve"> du </w:t>
      </w:r>
      <w:r w:rsidR="00BF0601" w:rsidRPr="00C3058A">
        <w:rPr>
          <w:sz w:val="20"/>
          <w:szCs w:val="20"/>
        </w:rPr>
        <w:t>Yucatan</w:t>
      </w:r>
      <w:r>
        <w:rPr>
          <w:sz w:val="20"/>
          <w:szCs w:val="20"/>
        </w:rPr>
        <w:t>, il</w:t>
      </w:r>
      <w:r w:rsidRPr="00C3058A">
        <w:rPr>
          <w:sz w:val="20"/>
          <w:szCs w:val="20"/>
        </w:rPr>
        <w:t xml:space="preserve"> a </w:t>
      </w:r>
      <w:r>
        <w:rPr>
          <w:sz w:val="20"/>
          <w:szCs w:val="20"/>
        </w:rPr>
        <w:t>été observé que cette espèce fleurit</w:t>
      </w:r>
      <w:r w:rsidRPr="00C3058A">
        <w:rPr>
          <w:sz w:val="20"/>
          <w:szCs w:val="20"/>
        </w:rPr>
        <w:t xml:space="preserve"> de Novembre à Février. </w:t>
      </w:r>
      <w:r w:rsidR="00BF0601">
        <w:rPr>
          <w:sz w:val="20"/>
          <w:szCs w:val="20"/>
        </w:rPr>
        <w:t>Dans</w:t>
      </w:r>
      <w:r w:rsidRPr="00C3058A">
        <w:rPr>
          <w:sz w:val="20"/>
          <w:szCs w:val="20"/>
        </w:rPr>
        <w:t xml:space="preserve"> le sud, certaines personnes</w:t>
      </w:r>
      <w:r w:rsidR="00BF0601">
        <w:rPr>
          <w:sz w:val="20"/>
          <w:szCs w:val="20"/>
        </w:rPr>
        <w:t xml:space="preserve"> l’ont vu commencer</w:t>
      </w:r>
      <w:r w:rsidRPr="00C3058A">
        <w:rPr>
          <w:sz w:val="20"/>
          <w:szCs w:val="20"/>
        </w:rPr>
        <w:t xml:space="preserve"> à fleurir à partir de Novembre et dans le centre-nord et la floraison commence en Janvier et Février.</w:t>
      </w:r>
      <w:r w:rsidR="00BF0601">
        <w:rPr>
          <w:sz w:val="20"/>
          <w:szCs w:val="20"/>
        </w:rPr>
        <w:t xml:space="preserve"> </w:t>
      </w:r>
      <w:r w:rsidRPr="00C3058A">
        <w:rPr>
          <w:sz w:val="20"/>
          <w:szCs w:val="20"/>
        </w:rPr>
        <w:t>Toutefois, il est important de noter que certains spécimens de cette espèce peu</w:t>
      </w:r>
      <w:r>
        <w:rPr>
          <w:sz w:val="20"/>
          <w:szCs w:val="20"/>
        </w:rPr>
        <w:t>ven</w:t>
      </w:r>
      <w:r w:rsidRPr="00C3058A">
        <w:rPr>
          <w:sz w:val="20"/>
          <w:szCs w:val="20"/>
        </w:rPr>
        <w:t>t s'épanouir en dehors de ce temps désigné.</w:t>
      </w:r>
    </w:p>
    <w:p w:rsidR="00C3058A" w:rsidRPr="00C3058A" w:rsidRDefault="00C3058A" w:rsidP="00C3058A">
      <w:pPr>
        <w:spacing w:after="0" w:line="240" w:lineRule="auto"/>
        <w:rPr>
          <w:sz w:val="20"/>
          <w:szCs w:val="20"/>
        </w:rPr>
      </w:pPr>
      <w:r w:rsidRPr="00C3058A">
        <w:rPr>
          <w:sz w:val="20"/>
          <w:szCs w:val="20"/>
        </w:rPr>
        <w:t>Fructification: en tant que résultat de fruits floraison peut être trouvée dans la plupart de l'année, mais la période de plus grande abondance est en Janvier et Février dans le sud et d'Avril à Juin dans le centre et le nord.</w:t>
      </w:r>
    </w:p>
    <w:p w:rsidR="00C3058A" w:rsidRDefault="00C3058A" w:rsidP="00C3058A">
      <w:pPr>
        <w:spacing w:after="0" w:line="240" w:lineRule="auto"/>
        <w:rPr>
          <w:sz w:val="20"/>
          <w:szCs w:val="20"/>
        </w:rPr>
      </w:pPr>
      <w:r w:rsidRPr="00C3058A">
        <w:rPr>
          <w:sz w:val="20"/>
          <w:szCs w:val="20"/>
        </w:rPr>
        <w:t>Fruit mûr: dans le nord, précisément dans la ville de Mérida a été observée à partir de fruits mûrs Avril à Juin. Et dans les échantillons du sud ont été trouvés avec des fruits mûrs dans les mois de Septembre et en Janvier et Février.</w:t>
      </w:r>
    </w:p>
    <w:p w:rsidR="00C3058A" w:rsidRDefault="00C3058A" w:rsidP="00C3058A">
      <w:pPr>
        <w:spacing w:after="0" w:line="240" w:lineRule="auto"/>
        <w:rPr>
          <w:sz w:val="20"/>
          <w:szCs w:val="20"/>
        </w:rPr>
      </w:pPr>
    </w:p>
    <w:p w:rsidR="00C3058A" w:rsidRDefault="00C3058A" w:rsidP="00C3058A">
      <w:pPr>
        <w:spacing w:after="0" w:line="240" w:lineRule="auto"/>
        <w:rPr>
          <w:sz w:val="20"/>
          <w:szCs w:val="20"/>
        </w:rPr>
      </w:pPr>
      <w:r w:rsidRPr="00C3058A">
        <w:rPr>
          <w:sz w:val="20"/>
          <w:szCs w:val="20"/>
        </w:rPr>
        <w:t xml:space="preserve">Tableau 1 -. </w:t>
      </w:r>
      <w:proofErr w:type="gramStart"/>
      <w:r w:rsidRPr="00C3058A">
        <w:rPr>
          <w:sz w:val="20"/>
          <w:szCs w:val="20"/>
        </w:rPr>
        <w:t>cycle</w:t>
      </w:r>
      <w:proofErr w:type="gramEnd"/>
      <w:r w:rsidRPr="00C3058A">
        <w:rPr>
          <w:sz w:val="20"/>
          <w:szCs w:val="20"/>
        </w:rPr>
        <w:t xml:space="preserve"> </w:t>
      </w:r>
      <w:proofErr w:type="spellStart"/>
      <w:r w:rsidRPr="00C3058A">
        <w:rPr>
          <w:sz w:val="20"/>
          <w:szCs w:val="20"/>
        </w:rPr>
        <w:t>phénologique</w:t>
      </w:r>
      <w:proofErr w:type="spellEnd"/>
      <w:r w:rsidR="00BF0601">
        <w:rPr>
          <w:sz w:val="20"/>
          <w:szCs w:val="20"/>
        </w:rPr>
        <w:t xml:space="preserve"> de r</w:t>
      </w:r>
      <w:r w:rsidR="00BF0601" w:rsidRPr="00C3058A">
        <w:rPr>
          <w:sz w:val="20"/>
          <w:szCs w:val="20"/>
        </w:rPr>
        <w:t>eproduction</w:t>
      </w:r>
      <w:r w:rsidRPr="00C3058A">
        <w:rPr>
          <w:sz w:val="20"/>
          <w:szCs w:val="20"/>
        </w:rPr>
        <w:t xml:space="preserve"> de Ramon dans l'état du Yucatan.</w:t>
      </w:r>
    </w:p>
    <w:p w:rsidR="00C3058A" w:rsidRDefault="00C3058A" w:rsidP="00C3058A">
      <w:pPr>
        <w:spacing w:after="0" w:line="240" w:lineRule="auto"/>
        <w:rPr>
          <w:sz w:val="20"/>
          <w:szCs w:val="20"/>
        </w:rPr>
      </w:pPr>
    </w:p>
    <w:tbl>
      <w:tblPr>
        <w:tblW w:w="0" w:type="auto"/>
        <w:tblInd w:w="43" w:type="dxa"/>
        <w:tblLayout w:type="fixed"/>
        <w:tblCellMar>
          <w:left w:w="0" w:type="dxa"/>
          <w:right w:w="0" w:type="dxa"/>
        </w:tblCellMar>
        <w:tblLook w:val="0000" w:firstRow="0" w:lastRow="0" w:firstColumn="0" w:lastColumn="0" w:noHBand="0" w:noVBand="0"/>
      </w:tblPr>
      <w:tblGrid>
        <w:gridCol w:w="739"/>
        <w:gridCol w:w="725"/>
        <w:gridCol w:w="67"/>
        <w:gridCol w:w="715"/>
        <w:gridCol w:w="850"/>
        <w:gridCol w:w="854"/>
        <w:gridCol w:w="706"/>
        <w:gridCol w:w="710"/>
        <w:gridCol w:w="850"/>
        <w:gridCol w:w="710"/>
        <w:gridCol w:w="706"/>
        <w:gridCol w:w="854"/>
        <w:gridCol w:w="725"/>
      </w:tblGrid>
      <w:tr w:rsidR="00C3058A" w:rsidTr="00AF31C3">
        <w:trPr>
          <w:trHeight w:hRule="exact" w:val="533"/>
        </w:trPr>
        <w:tc>
          <w:tcPr>
            <w:tcW w:w="739" w:type="dxa"/>
            <w:tcBorders>
              <w:top w:val="single" w:sz="11" w:space="0" w:color="auto"/>
              <w:left w:val="single" w:sz="11" w:space="0" w:color="auto"/>
              <w:bottom w:val="single" w:sz="12" w:space="0" w:color="auto"/>
              <w:right w:val="single" w:sz="11" w:space="0" w:color="auto"/>
            </w:tcBorders>
            <w:shd w:val="solid" w:color="808080" w:fill="auto"/>
          </w:tcPr>
          <w:p w:rsidR="00C3058A" w:rsidRDefault="00AF31C3" w:rsidP="00945207">
            <w:pPr>
              <w:kinsoku w:val="0"/>
              <w:overflowPunct w:val="0"/>
              <w:spacing w:before="43" w:after="235" w:line="249" w:lineRule="exact"/>
              <w:jc w:val="center"/>
              <w:textAlignment w:val="baseline"/>
              <w:rPr>
                <w:b/>
                <w:bCs/>
                <w:color w:val="000000"/>
                <w:spacing w:val="-1"/>
              </w:rPr>
            </w:pPr>
            <w:r>
              <w:rPr>
                <w:b/>
                <w:bCs/>
                <w:color w:val="000000"/>
                <w:spacing w:val="-1"/>
              </w:rPr>
              <w:t>JAN</w:t>
            </w:r>
          </w:p>
        </w:tc>
        <w:tc>
          <w:tcPr>
            <w:tcW w:w="725" w:type="dxa"/>
            <w:tcBorders>
              <w:top w:val="single" w:sz="11" w:space="0" w:color="auto"/>
              <w:left w:val="single" w:sz="11" w:space="0" w:color="auto"/>
              <w:bottom w:val="single" w:sz="12" w:space="0" w:color="auto"/>
              <w:right w:val="single" w:sz="11" w:space="0" w:color="auto"/>
            </w:tcBorders>
            <w:shd w:val="solid" w:color="808080" w:fill="auto"/>
          </w:tcPr>
          <w:p w:rsidR="00C3058A" w:rsidRDefault="00AF31C3" w:rsidP="00945207">
            <w:pPr>
              <w:kinsoku w:val="0"/>
              <w:overflowPunct w:val="0"/>
              <w:spacing w:before="43" w:after="235" w:line="249" w:lineRule="exact"/>
              <w:jc w:val="center"/>
              <w:textAlignment w:val="baseline"/>
              <w:rPr>
                <w:b/>
                <w:bCs/>
                <w:color w:val="000000"/>
              </w:rPr>
            </w:pPr>
            <w:r>
              <w:rPr>
                <w:b/>
                <w:bCs/>
                <w:color w:val="000000"/>
              </w:rPr>
              <w:t>FEV</w:t>
            </w:r>
          </w:p>
        </w:tc>
        <w:tc>
          <w:tcPr>
            <w:tcW w:w="782" w:type="dxa"/>
            <w:gridSpan w:val="2"/>
            <w:tcBorders>
              <w:top w:val="single" w:sz="11" w:space="0" w:color="auto"/>
              <w:left w:val="single" w:sz="11" w:space="0" w:color="auto"/>
              <w:bottom w:val="single" w:sz="12" w:space="0" w:color="auto"/>
              <w:right w:val="single" w:sz="11" w:space="0" w:color="auto"/>
            </w:tcBorders>
            <w:shd w:val="solid" w:color="808080" w:fill="auto"/>
          </w:tcPr>
          <w:p w:rsidR="00C3058A" w:rsidRDefault="00C3058A" w:rsidP="00945207">
            <w:pPr>
              <w:kinsoku w:val="0"/>
              <w:overflowPunct w:val="0"/>
              <w:spacing w:before="43" w:after="235" w:line="249" w:lineRule="exact"/>
              <w:jc w:val="center"/>
              <w:textAlignment w:val="baseline"/>
              <w:rPr>
                <w:b/>
                <w:bCs/>
                <w:color w:val="000000"/>
                <w:spacing w:val="2"/>
              </w:rPr>
            </w:pPr>
            <w:r>
              <w:rPr>
                <w:b/>
                <w:bCs/>
                <w:color w:val="000000"/>
                <w:spacing w:val="2"/>
              </w:rPr>
              <w:t>MAR</w:t>
            </w:r>
          </w:p>
        </w:tc>
        <w:tc>
          <w:tcPr>
            <w:tcW w:w="850" w:type="dxa"/>
            <w:tcBorders>
              <w:top w:val="single" w:sz="11" w:space="0" w:color="auto"/>
              <w:left w:val="single" w:sz="11" w:space="0" w:color="auto"/>
              <w:bottom w:val="single" w:sz="12" w:space="0" w:color="auto"/>
              <w:right w:val="single" w:sz="11" w:space="0" w:color="auto"/>
            </w:tcBorders>
            <w:shd w:val="solid" w:color="808080" w:fill="auto"/>
          </w:tcPr>
          <w:p w:rsidR="00C3058A" w:rsidRDefault="00AF31C3" w:rsidP="00945207">
            <w:pPr>
              <w:kinsoku w:val="0"/>
              <w:overflowPunct w:val="0"/>
              <w:spacing w:before="43" w:after="235" w:line="249" w:lineRule="exact"/>
              <w:jc w:val="center"/>
              <w:textAlignment w:val="baseline"/>
              <w:rPr>
                <w:b/>
                <w:bCs/>
                <w:color w:val="000000"/>
                <w:spacing w:val="2"/>
              </w:rPr>
            </w:pPr>
            <w:r>
              <w:rPr>
                <w:b/>
                <w:bCs/>
                <w:color w:val="000000"/>
                <w:spacing w:val="2"/>
              </w:rPr>
              <w:t>AV</w:t>
            </w:r>
            <w:r w:rsidR="00C3058A">
              <w:rPr>
                <w:b/>
                <w:bCs/>
                <w:color w:val="000000"/>
                <w:spacing w:val="2"/>
              </w:rPr>
              <w:t>R</w:t>
            </w:r>
          </w:p>
        </w:tc>
        <w:tc>
          <w:tcPr>
            <w:tcW w:w="854" w:type="dxa"/>
            <w:tcBorders>
              <w:top w:val="single" w:sz="11" w:space="0" w:color="auto"/>
              <w:left w:val="single" w:sz="11" w:space="0" w:color="auto"/>
              <w:bottom w:val="single" w:sz="12" w:space="0" w:color="auto"/>
              <w:right w:val="single" w:sz="11" w:space="0" w:color="auto"/>
            </w:tcBorders>
            <w:shd w:val="solid" w:color="808080" w:fill="auto"/>
          </w:tcPr>
          <w:p w:rsidR="00C3058A" w:rsidRDefault="00AF31C3" w:rsidP="00945207">
            <w:pPr>
              <w:kinsoku w:val="0"/>
              <w:overflowPunct w:val="0"/>
              <w:spacing w:before="43" w:after="235" w:line="249" w:lineRule="exact"/>
              <w:jc w:val="center"/>
              <w:textAlignment w:val="baseline"/>
              <w:rPr>
                <w:b/>
                <w:bCs/>
                <w:color w:val="000000"/>
              </w:rPr>
            </w:pPr>
            <w:r>
              <w:rPr>
                <w:b/>
                <w:bCs/>
                <w:color w:val="000000"/>
              </w:rPr>
              <w:t>MAI</w:t>
            </w:r>
          </w:p>
        </w:tc>
        <w:tc>
          <w:tcPr>
            <w:tcW w:w="706" w:type="dxa"/>
            <w:tcBorders>
              <w:top w:val="single" w:sz="11" w:space="0" w:color="auto"/>
              <w:left w:val="single" w:sz="11" w:space="0" w:color="auto"/>
              <w:bottom w:val="single" w:sz="12" w:space="0" w:color="auto"/>
              <w:right w:val="single" w:sz="11" w:space="0" w:color="auto"/>
            </w:tcBorders>
            <w:shd w:val="solid" w:color="808080" w:fill="auto"/>
          </w:tcPr>
          <w:p w:rsidR="00C3058A" w:rsidRDefault="00C3058A" w:rsidP="00945207">
            <w:pPr>
              <w:kinsoku w:val="0"/>
              <w:overflowPunct w:val="0"/>
              <w:spacing w:before="43" w:after="235" w:line="249" w:lineRule="exact"/>
              <w:jc w:val="center"/>
              <w:textAlignment w:val="baseline"/>
              <w:rPr>
                <w:b/>
                <w:bCs/>
                <w:color w:val="000000"/>
              </w:rPr>
            </w:pPr>
            <w:r>
              <w:rPr>
                <w:b/>
                <w:bCs/>
                <w:color w:val="000000"/>
              </w:rPr>
              <w:t>JU</w:t>
            </w:r>
            <w:r w:rsidR="00AF31C3">
              <w:rPr>
                <w:b/>
                <w:bCs/>
                <w:color w:val="000000"/>
              </w:rPr>
              <w:t>I</w:t>
            </w:r>
            <w:r>
              <w:rPr>
                <w:b/>
                <w:bCs/>
                <w:color w:val="000000"/>
              </w:rPr>
              <w:t>N</w:t>
            </w:r>
          </w:p>
        </w:tc>
        <w:tc>
          <w:tcPr>
            <w:tcW w:w="710" w:type="dxa"/>
            <w:tcBorders>
              <w:top w:val="single" w:sz="11" w:space="0" w:color="auto"/>
              <w:left w:val="single" w:sz="11" w:space="0" w:color="auto"/>
              <w:bottom w:val="single" w:sz="12" w:space="0" w:color="auto"/>
              <w:right w:val="single" w:sz="11" w:space="0" w:color="auto"/>
            </w:tcBorders>
            <w:shd w:val="solid" w:color="808080" w:fill="auto"/>
          </w:tcPr>
          <w:p w:rsidR="00C3058A" w:rsidRDefault="00C3058A" w:rsidP="00945207">
            <w:pPr>
              <w:kinsoku w:val="0"/>
              <w:overflowPunct w:val="0"/>
              <w:spacing w:before="43" w:after="235" w:line="249" w:lineRule="exact"/>
              <w:jc w:val="center"/>
              <w:textAlignment w:val="baseline"/>
              <w:rPr>
                <w:b/>
                <w:bCs/>
                <w:color w:val="000000"/>
              </w:rPr>
            </w:pPr>
            <w:r>
              <w:rPr>
                <w:b/>
                <w:bCs/>
                <w:color w:val="000000"/>
              </w:rPr>
              <w:t>JUL</w:t>
            </w:r>
          </w:p>
        </w:tc>
        <w:tc>
          <w:tcPr>
            <w:tcW w:w="850" w:type="dxa"/>
            <w:tcBorders>
              <w:top w:val="single" w:sz="11" w:space="0" w:color="auto"/>
              <w:left w:val="single" w:sz="11" w:space="0" w:color="auto"/>
              <w:bottom w:val="single" w:sz="12" w:space="0" w:color="auto"/>
              <w:right w:val="single" w:sz="11" w:space="0" w:color="auto"/>
            </w:tcBorders>
            <w:shd w:val="solid" w:color="808080" w:fill="auto"/>
          </w:tcPr>
          <w:p w:rsidR="00C3058A" w:rsidRDefault="00AF31C3" w:rsidP="00945207">
            <w:pPr>
              <w:kinsoku w:val="0"/>
              <w:overflowPunct w:val="0"/>
              <w:spacing w:before="43" w:after="235" w:line="249" w:lineRule="exact"/>
              <w:jc w:val="center"/>
              <w:textAlignment w:val="baseline"/>
              <w:rPr>
                <w:b/>
                <w:bCs/>
                <w:color w:val="000000"/>
              </w:rPr>
            </w:pPr>
            <w:r>
              <w:rPr>
                <w:b/>
                <w:bCs/>
                <w:color w:val="000000"/>
              </w:rPr>
              <w:t>A</w:t>
            </w:r>
            <w:r w:rsidR="00C3058A">
              <w:rPr>
                <w:b/>
                <w:bCs/>
                <w:color w:val="000000"/>
              </w:rPr>
              <w:t>O</w:t>
            </w:r>
            <w:r>
              <w:rPr>
                <w:b/>
                <w:bCs/>
                <w:color w:val="000000"/>
              </w:rPr>
              <w:t>UT</w:t>
            </w:r>
          </w:p>
        </w:tc>
        <w:tc>
          <w:tcPr>
            <w:tcW w:w="710" w:type="dxa"/>
            <w:tcBorders>
              <w:top w:val="single" w:sz="11" w:space="0" w:color="auto"/>
              <w:left w:val="single" w:sz="11" w:space="0" w:color="auto"/>
              <w:bottom w:val="single" w:sz="12" w:space="0" w:color="auto"/>
              <w:right w:val="single" w:sz="11" w:space="0" w:color="auto"/>
            </w:tcBorders>
            <w:shd w:val="solid" w:color="808080" w:fill="auto"/>
          </w:tcPr>
          <w:p w:rsidR="00C3058A" w:rsidRDefault="00C3058A" w:rsidP="00945207">
            <w:pPr>
              <w:kinsoku w:val="0"/>
              <w:overflowPunct w:val="0"/>
              <w:spacing w:before="43" w:after="235" w:line="249" w:lineRule="exact"/>
              <w:jc w:val="center"/>
              <w:textAlignment w:val="baseline"/>
              <w:rPr>
                <w:b/>
                <w:bCs/>
                <w:color w:val="000000"/>
                <w:spacing w:val="-3"/>
              </w:rPr>
            </w:pPr>
            <w:r>
              <w:rPr>
                <w:b/>
                <w:bCs/>
                <w:color w:val="000000"/>
                <w:spacing w:val="-3"/>
              </w:rPr>
              <w:t>SEP</w:t>
            </w:r>
          </w:p>
        </w:tc>
        <w:tc>
          <w:tcPr>
            <w:tcW w:w="706" w:type="dxa"/>
            <w:tcBorders>
              <w:top w:val="single" w:sz="11" w:space="0" w:color="auto"/>
              <w:left w:val="single" w:sz="11" w:space="0" w:color="auto"/>
              <w:bottom w:val="single" w:sz="12" w:space="0" w:color="auto"/>
              <w:right w:val="single" w:sz="11" w:space="0" w:color="auto"/>
            </w:tcBorders>
            <w:shd w:val="solid" w:color="808080" w:fill="auto"/>
          </w:tcPr>
          <w:p w:rsidR="00C3058A" w:rsidRDefault="00C3058A" w:rsidP="00945207">
            <w:pPr>
              <w:kinsoku w:val="0"/>
              <w:overflowPunct w:val="0"/>
              <w:spacing w:before="43" w:after="235" w:line="249" w:lineRule="exact"/>
              <w:jc w:val="center"/>
              <w:textAlignment w:val="baseline"/>
              <w:rPr>
                <w:b/>
                <w:bCs/>
                <w:color w:val="000000"/>
                <w:spacing w:val="-1"/>
              </w:rPr>
            </w:pPr>
            <w:r>
              <w:rPr>
                <w:b/>
                <w:bCs/>
                <w:color w:val="000000"/>
                <w:spacing w:val="-1"/>
              </w:rPr>
              <w:t>OCT</w:t>
            </w:r>
          </w:p>
        </w:tc>
        <w:tc>
          <w:tcPr>
            <w:tcW w:w="854" w:type="dxa"/>
            <w:tcBorders>
              <w:top w:val="single" w:sz="11" w:space="0" w:color="auto"/>
              <w:left w:val="single" w:sz="11" w:space="0" w:color="auto"/>
              <w:bottom w:val="single" w:sz="12" w:space="0" w:color="auto"/>
              <w:right w:val="single" w:sz="11" w:space="0" w:color="auto"/>
            </w:tcBorders>
            <w:shd w:val="solid" w:color="808080" w:fill="auto"/>
          </w:tcPr>
          <w:p w:rsidR="00C3058A" w:rsidRDefault="00C3058A" w:rsidP="00945207">
            <w:pPr>
              <w:kinsoku w:val="0"/>
              <w:overflowPunct w:val="0"/>
              <w:spacing w:before="43" w:after="235" w:line="249" w:lineRule="exact"/>
              <w:jc w:val="center"/>
              <w:textAlignment w:val="baseline"/>
              <w:rPr>
                <w:b/>
                <w:bCs/>
                <w:color w:val="000000"/>
              </w:rPr>
            </w:pPr>
            <w:r>
              <w:rPr>
                <w:b/>
                <w:bCs/>
                <w:color w:val="000000"/>
              </w:rPr>
              <w:t>NOV</w:t>
            </w:r>
          </w:p>
        </w:tc>
        <w:tc>
          <w:tcPr>
            <w:tcW w:w="725" w:type="dxa"/>
            <w:tcBorders>
              <w:top w:val="single" w:sz="11" w:space="0" w:color="auto"/>
              <w:left w:val="single" w:sz="11" w:space="0" w:color="auto"/>
              <w:bottom w:val="single" w:sz="12" w:space="0" w:color="auto"/>
              <w:right w:val="single" w:sz="11" w:space="0" w:color="auto"/>
            </w:tcBorders>
            <w:shd w:val="solid" w:color="808080" w:fill="auto"/>
          </w:tcPr>
          <w:p w:rsidR="00C3058A" w:rsidRDefault="00AF31C3" w:rsidP="00945207">
            <w:pPr>
              <w:kinsoku w:val="0"/>
              <w:overflowPunct w:val="0"/>
              <w:spacing w:before="43" w:after="235" w:line="249" w:lineRule="exact"/>
              <w:jc w:val="center"/>
              <w:textAlignment w:val="baseline"/>
              <w:rPr>
                <w:b/>
                <w:bCs/>
                <w:color w:val="000000"/>
                <w:spacing w:val="-1"/>
              </w:rPr>
            </w:pPr>
            <w:r>
              <w:rPr>
                <w:b/>
                <w:bCs/>
                <w:color w:val="000000"/>
                <w:spacing w:val="-1"/>
              </w:rPr>
              <w:t>DE</w:t>
            </w:r>
            <w:r w:rsidR="00C3058A">
              <w:rPr>
                <w:b/>
                <w:bCs/>
                <w:color w:val="000000"/>
                <w:spacing w:val="-1"/>
              </w:rPr>
              <w:t>C</w:t>
            </w:r>
          </w:p>
        </w:tc>
      </w:tr>
      <w:tr w:rsidR="00C3058A" w:rsidTr="00AF31C3">
        <w:trPr>
          <w:trHeight w:hRule="exact" w:val="465"/>
        </w:trPr>
        <w:tc>
          <w:tcPr>
            <w:tcW w:w="9211" w:type="dxa"/>
            <w:gridSpan w:val="13"/>
            <w:tcBorders>
              <w:top w:val="single" w:sz="12" w:space="0" w:color="auto"/>
              <w:left w:val="single" w:sz="12" w:space="0" w:color="auto"/>
              <w:bottom w:val="single" w:sz="12" w:space="0" w:color="auto"/>
              <w:right w:val="single" w:sz="12" w:space="0" w:color="auto"/>
            </w:tcBorders>
            <w:shd w:val="pct25" w:color="BABABA" w:fill="auto"/>
          </w:tcPr>
          <w:p w:rsidR="00C3058A" w:rsidRDefault="00C3058A" w:rsidP="00C3058A">
            <w:pPr>
              <w:kinsoku w:val="0"/>
              <w:overflowPunct w:val="0"/>
              <w:jc w:val="center"/>
              <w:textAlignment w:val="baseline"/>
              <w:rPr>
                <w:rFonts w:ascii="Calibri" w:hAnsi="Calibri" w:cs="Calibri"/>
                <w:sz w:val="24"/>
                <w:szCs w:val="24"/>
              </w:rPr>
            </w:pPr>
            <w:r>
              <w:rPr>
                <w:rFonts w:ascii="Calibri" w:hAnsi="Calibri" w:cs="Calibri"/>
                <w:sz w:val="24"/>
                <w:szCs w:val="24"/>
              </w:rPr>
              <w:t>Avec Feuillage</w:t>
            </w:r>
          </w:p>
        </w:tc>
      </w:tr>
      <w:tr w:rsidR="00C3058A" w:rsidTr="00AF31C3">
        <w:trPr>
          <w:trHeight w:hRule="exact" w:val="716"/>
        </w:trPr>
        <w:tc>
          <w:tcPr>
            <w:tcW w:w="1531" w:type="dxa"/>
            <w:gridSpan w:val="3"/>
            <w:tcBorders>
              <w:top w:val="single" w:sz="12" w:space="0" w:color="auto"/>
              <w:left w:val="single" w:sz="12" w:space="0" w:color="auto"/>
              <w:bottom w:val="single" w:sz="12" w:space="0" w:color="auto"/>
              <w:right w:val="single" w:sz="12" w:space="0" w:color="auto"/>
            </w:tcBorders>
            <w:shd w:val="pct25" w:color="BABABA" w:fill="auto"/>
          </w:tcPr>
          <w:p w:rsidR="00C3058A" w:rsidRDefault="00C3058A" w:rsidP="00945207">
            <w:pPr>
              <w:kinsoku w:val="0"/>
              <w:overflowPunct w:val="0"/>
              <w:textAlignment w:val="baseline"/>
              <w:rPr>
                <w:rFonts w:ascii="Calibri" w:hAnsi="Calibri" w:cs="Calibri"/>
                <w:sz w:val="24"/>
                <w:szCs w:val="24"/>
              </w:rPr>
            </w:pPr>
            <w:r>
              <w:rPr>
                <w:rFonts w:ascii="Calibri" w:hAnsi="Calibri" w:cs="Calibri"/>
                <w:sz w:val="24"/>
                <w:szCs w:val="24"/>
              </w:rPr>
              <w:t>Floraison abondante</w:t>
            </w:r>
          </w:p>
        </w:tc>
        <w:tc>
          <w:tcPr>
            <w:tcW w:w="6101" w:type="dxa"/>
            <w:gridSpan w:val="8"/>
            <w:tcBorders>
              <w:top w:val="single" w:sz="12" w:space="0" w:color="auto"/>
              <w:left w:val="single" w:sz="12" w:space="0" w:color="auto"/>
              <w:bottom w:val="single" w:sz="12" w:space="0" w:color="auto"/>
              <w:right w:val="single" w:sz="12" w:space="0" w:color="auto"/>
            </w:tcBorders>
            <w:shd w:val="clear" w:color="BABABA" w:fill="FFFFFF" w:themeFill="background1"/>
          </w:tcPr>
          <w:p w:rsidR="00C3058A" w:rsidRDefault="00AF31C3" w:rsidP="00C3058A">
            <w:pPr>
              <w:kinsoku w:val="0"/>
              <w:overflowPunct w:val="0"/>
              <w:jc w:val="center"/>
              <w:textAlignment w:val="baseline"/>
              <w:rPr>
                <w:rFonts w:ascii="Calibri" w:hAnsi="Calibri" w:cs="Calibri"/>
                <w:sz w:val="24"/>
                <w:szCs w:val="24"/>
              </w:rPr>
            </w:pPr>
            <w:r>
              <w:rPr>
                <w:rFonts w:ascii="Calibri" w:hAnsi="Calibri" w:cs="Calibri"/>
                <w:sz w:val="24"/>
                <w:szCs w:val="24"/>
              </w:rPr>
              <w:t>F</w:t>
            </w:r>
            <w:r w:rsidR="00C3058A">
              <w:rPr>
                <w:rFonts w:ascii="Calibri" w:hAnsi="Calibri" w:cs="Calibri"/>
                <w:sz w:val="24"/>
                <w:szCs w:val="24"/>
              </w:rPr>
              <w:t>ai</w:t>
            </w:r>
            <w:r>
              <w:rPr>
                <w:rFonts w:ascii="Calibri" w:hAnsi="Calibri" w:cs="Calibri"/>
                <w:sz w:val="24"/>
                <w:szCs w:val="24"/>
              </w:rPr>
              <w:t>ble</w:t>
            </w:r>
            <w:r w:rsidR="00C3058A" w:rsidRPr="00C3058A">
              <w:rPr>
                <w:rFonts w:ascii="Calibri" w:hAnsi="Calibri" w:cs="Calibri"/>
                <w:sz w:val="24"/>
                <w:szCs w:val="24"/>
              </w:rPr>
              <w:t xml:space="preserve"> floraison</w:t>
            </w:r>
          </w:p>
        </w:tc>
        <w:tc>
          <w:tcPr>
            <w:tcW w:w="1579" w:type="dxa"/>
            <w:gridSpan w:val="2"/>
            <w:tcBorders>
              <w:top w:val="single" w:sz="12" w:space="0" w:color="auto"/>
              <w:left w:val="single" w:sz="12" w:space="0" w:color="auto"/>
              <w:bottom w:val="single" w:sz="11" w:space="0" w:color="auto"/>
              <w:right w:val="single" w:sz="11" w:space="0" w:color="auto"/>
            </w:tcBorders>
            <w:shd w:val="solid" w:color="D9D9D9" w:fill="auto"/>
          </w:tcPr>
          <w:p w:rsidR="00C3058A" w:rsidRDefault="00C3058A" w:rsidP="00945207">
            <w:pPr>
              <w:kinsoku w:val="0"/>
              <w:overflowPunct w:val="0"/>
              <w:textAlignment w:val="baseline"/>
              <w:rPr>
                <w:rFonts w:ascii="Calibri" w:hAnsi="Calibri" w:cs="Calibri"/>
                <w:sz w:val="24"/>
                <w:szCs w:val="24"/>
              </w:rPr>
            </w:pPr>
          </w:p>
        </w:tc>
      </w:tr>
      <w:tr w:rsidR="00C3058A" w:rsidTr="00AF31C3">
        <w:trPr>
          <w:trHeight w:hRule="exact" w:val="562"/>
        </w:trPr>
        <w:tc>
          <w:tcPr>
            <w:tcW w:w="2246" w:type="dxa"/>
            <w:gridSpan w:val="4"/>
            <w:tcBorders>
              <w:top w:val="single" w:sz="11" w:space="0" w:color="auto"/>
              <w:left w:val="single" w:sz="11" w:space="0" w:color="auto"/>
              <w:bottom w:val="single" w:sz="11" w:space="0" w:color="auto"/>
              <w:right w:val="single" w:sz="12" w:space="0" w:color="auto"/>
            </w:tcBorders>
          </w:tcPr>
          <w:p w:rsidR="00C3058A" w:rsidRDefault="00C3058A" w:rsidP="00C3058A">
            <w:pPr>
              <w:kinsoku w:val="0"/>
              <w:overflowPunct w:val="0"/>
              <w:jc w:val="center"/>
              <w:textAlignment w:val="baseline"/>
              <w:rPr>
                <w:rFonts w:ascii="Calibri" w:hAnsi="Calibri" w:cs="Calibri"/>
                <w:sz w:val="24"/>
                <w:szCs w:val="24"/>
              </w:rPr>
            </w:pPr>
          </w:p>
        </w:tc>
        <w:tc>
          <w:tcPr>
            <w:tcW w:w="2410" w:type="dxa"/>
            <w:gridSpan w:val="3"/>
            <w:tcBorders>
              <w:top w:val="single" w:sz="12" w:space="0" w:color="auto"/>
              <w:left w:val="single" w:sz="12" w:space="0" w:color="auto"/>
              <w:bottom w:val="single" w:sz="12" w:space="0" w:color="auto"/>
              <w:right w:val="single" w:sz="12" w:space="0" w:color="auto"/>
            </w:tcBorders>
            <w:shd w:val="pct25" w:color="808080" w:fill="auto"/>
          </w:tcPr>
          <w:p w:rsidR="00C3058A" w:rsidRDefault="00C3058A" w:rsidP="00C3058A">
            <w:pPr>
              <w:kinsoku w:val="0"/>
              <w:overflowPunct w:val="0"/>
              <w:jc w:val="center"/>
              <w:textAlignment w:val="baseline"/>
              <w:rPr>
                <w:rFonts w:ascii="Calibri" w:hAnsi="Calibri" w:cs="Calibri"/>
                <w:sz w:val="24"/>
                <w:szCs w:val="24"/>
              </w:rPr>
            </w:pPr>
            <w:r w:rsidRPr="00C3058A">
              <w:rPr>
                <w:rFonts w:ascii="Calibri" w:hAnsi="Calibri" w:cs="Calibri"/>
                <w:sz w:val="24"/>
                <w:szCs w:val="24"/>
              </w:rPr>
              <w:t>Abondants fruits mûrs</w:t>
            </w:r>
          </w:p>
        </w:tc>
        <w:tc>
          <w:tcPr>
            <w:tcW w:w="4555" w:type="dxa"/>
            <w:gridSpan w:val="6"/>
            <w:tcBorders>
              <w:top w:val="single" w:sz="12" w:space="0" w:color="auto"/>
              <w:left w:val="single" w:sz="12" w:space="0" w:color="auto"/>
              <w:bottom w:val="single" w:sz="12" w:space="0" w:color="auto"/>
              <w:right w:val="single" w:sz="12" w:space="0" w:color="auto"/>
            </w:tcBorders>
            <w:shd w:val="clear" w:color="949494" w:fill="auto"/>
          </w:tcPr>
          <w:p w:rsidR="00C3058A" w:rsidRDefault="00C3058A" w:rsidP="00C3058A">
            <w:pPr>
              <w:kinsoku w:val="0"/>
              <w:overflowPunct w:val="0"/>
              <w:jc w:val="center"/>
              <w:textAlignment w:val="baseline"/>
              <w:rPr>
                <w:rFonts w:ascii="Calibri" w:hAnsi="Calibri" w:cs="Calibri"/>
                <w:sz w:val="24"/>
                <w:szCs w:val="24"/>
              </w:rPr>
            </w:pPr>
            <w:r w:rsidRPr="00C3058A">
              <w:rPr>
                <w:rFonts w:ascii="Calibri" w:hAnsi="Calibri" w:cs="Calibri"/>
                <w:sz w:val="24"/>
                <w:szCs w:val="24"/>
              </w:rPr>
              <w:t>Fruits mûrs peu abondants.</w:t>
            </w:r>
          </w:p>
        </w:tc>
      </w:tr>
    </w:tbl>
    <w:p w:rsidR="00C3058A" w:rsidRDefault="00C3058A" w:rsidP="00C3058A">
      <w:pPr>
        <w:spacing w:after="0" w:line="240" w:lineRule="auto"/>
        <w:rPr>
          <w:sz w:val="20"/>
          <w:szCs w:val="20"/>
        </w:rPr>
      </w:pPr>
    </w:p>
    <w:p w:rsidR="00C3058A" w:rsidRPr="00C3058A" w:rsidRDefault="00C3058A" w:rsidP="00C3058A">
      <w:pPr>
        <w:spacing w:after="0" w:line="240" w:lineRule="auto"/>
        <w:rPr>
          <w:sz w:val="20"/>
          <w:szCs w:val="20"/>
        </w:rPr>
      </w:pPr>
      <w:proofErr w:type="spellStart"/>
      <w:r w:rsidRPr="00C3058A">
        <w:rPr>
          <w:sz w:val="20"/>
          <w:szCs w:val="20"/>
        </w:rPr>
        <w:t>lll</w:t>
      </w:r>
      <w:proofErr w:type="spellEnd"/>
      <w:r w:rsidRPr="00C3058A">
        <w:rPr>
          <w:sz w:val="20"/>
          <w:szCs w:val="20"/>
        </w:rPr>
        <w:t>. COLLECTE DE SEMENCES</w:t>
      </w:r>
    </w:p>
    <w:p w:rsidR="00C3058A" w:rsidRPr="00C3058A" w:rsidRDefault="00C3058A" w:rsidP="00C3058A">
      <w:pPr>
        <w:spacing w:after="0" w:line="240" w:lineRule="auto"/>
        <w:rPr>
          <w:sz w:val="20"/>
          <w:szCs w:val="20"/>
        </w:rPr>
      </w:pPr>
      <w:r w:rsidRPr="00C3058A">
        <w:rPr>
          <w:sz w:val="20"/>
          <w:szCs w:val="20"/>
        </w:rPr>
        <w:t>Pour faire une perception correcte et en temps opportun des fruits de Ramon est nécessaire pour planifier, organiser et mettre en œuvre les activités suivantes:</w:t>
      </w:r>
    </w:p>
    <w:p w:rsidR="00C3058A" w:rsidRDefault="00C3058A" w:rsidP="00C3058A">
      <w:pPr>
        <w:spacing w:after="0" w:line="240" w:lineRule="auto"/>
        <w:rPr>
          <w:sz w:val="20"/>
          <w:szCs w:val="20"/>
        </w:rPr>
      </w:pPr>
    </w:p>
    <w:p w:rsidR="00C3058A" w:rsidRPr="00C3058A" w:rsidRDefault="00C3058A" w:rsidP="00C3058A">
      <w:pPr>
        <w:spacing w:after="0" w:line="240" w:lineRule="auto"/>
        <w:rPr>
          <w:sz w:val="20"/>
          <w:szCs w:val="20"/>
        </w:rPr>
      </w:pPr>
      <w:r w:rsidRPr="00C3058A">
        <w:rPr>
          <w:sz w:val="20"/>
          <w:szCs w:val="20"/>
        </w:rPr>
        <w:t>3,1. Lieu et la sélection des meilleurs arbres</w:t>
      </w:r>
    </w:p>
    <w:p w:rsidR="00C3058A" w:rsidRPr="00C3058A" w:rsidRDefault="00C3058A" w:rsidP="00C3058A">
      <w:pPr>
        <w:spacing w:after="0" w:line="240" w:lineRule="auto"/>
        <w:rPr>
          <w:sz w:val="20"/>
          <w:szCs w:val="20"/>
        </w:rPr>
      </w:pPr>
      <w:r w:rsidRPr="00C3058A">
        <w:rPr>
          <w:sz w:val="20"/>
          <w:szCs w:val="20"/>
        </w:rPr>
        <w:t xml:space="preserve">Les meilleurs individus sont sélectionnés pour évaluer les caractéristiques phénotypiques établies comme idéal pour cette espèce en fonction des objectifs de production. Les caractéristiques phénotypiques sont </w:t>
      </w:r>
      <w:proofErr w:type="gramStart"/>
      <w:r w:rsidRPr="00C3058A">
        <w:rPr>
          <w:sz w:val="20"/>
          <w:szCs w:val="20"/>
        </w:rPr>
        <w:t>définis</w:t>
      </w:r>
      <w:proofErr w:type="gramEnd"/>
      <w:r w:rsidRPr="00C3058A">
        <w:rPr>
          <w:sz w:val="20"/>
          <w:szCs w:val="20"/>
        </w:rPr>
        <w:t xml:space="preserve"> en conformité avec les objectifs des programmes de reboisement pour laquelle l'usine produira: les plantations de parcelles alimentaires, le reboisement pour la régénération écologique, la foresterie urbaine, etc.</w:t>
      </w:r>
    </w:p>
    <w:p w:rsidR="00C3058A" w:rsidRPr="00C3058A" w:rsidRDefault="00C3058A" w:rsidP="00C3058A">
      <w:pPr>
        <w:spacing w:after="0" w:line="240" w:lineRule="auto"/>
        <w:rPr>
          <w:sz w:val="20"/>
          <w:szCs w:val="20"/>
        </w:rPr>
      </w:pPr>
      <w:r w:rsidRPr="00C3058A">
        <w:rPr>
          <w:sz w:val="20"/>
          <w:szCs w:val="20"/>
        </w:rPr>
        <w:t>Par exemple, pour la plantation d'arbres en milieu urbain doivent être choisis avec arbres moyens avec des couronnes de large, sains et vigoureux.</w:t>
      </w:r>
    </w:p>
    <w:p w:rsidR="00C3058A" w:rsidRPr="00C3058A" w:rsidRDefault="00C3058A" w:rsidP="00C3058A">
      <w:pPr>
        <w:spacing w:after="0" w:line="240" w:lineRule="auto"/>
        <w:rPr>
          <w:sz w:val="20"/>
          <w:szCs w:val="20"/>
        </w:rPr>
      </w:pPr>
      <w:r w:rsidRPr="00C3058A">
        <w:rPr>
          <w:sz w:val="20"/>
          <w:szCs w:val="20"/>
        </w:rPr>
        <w:t>Il est recommandé de localiser et de définir comme arbres semenciers plus de 50 personnes par région, ce afin de maintenir une variation acceptable génétique.</w:t>
      </w:r>
    </w:p>
    <w:p w:rsidR="00C3058A" w:rsidRPr="00C3058A" w:rsidRDefault="00C3058A" w:rsidP="00C3058A">
      <w:pPr>
        <w:spacing w:after="0" w:line="240" w:lineRule="auto"/>
        <w:rPr>
          <w:sz w:val="20"/>
          <w:szCs w:val="20"/>
        </w:rPr>
      </w:pPr>
      <w:r w:rsidRPr="00C3058A">
        <w:rPr>
          <w:sz w:val="20"/>
          <w:szCs w:val="20"/>
        </w:rPr>
        <w:t xml:space="preserve">Les arbres sélectionnés </w:t>
      </w:r>
      <w:proofErr w:type="spellStart"/>
      <w:r w:rsidRPr="00C3058A">
        <w:rPr>
          <w:sz w:val="20"/>
          <w:szCs w:val="20"/>
        </w:rPr>
        <w:t>realizarles</w:t>
      </w:r>
      <w:proofErr w:type="spellEnd"/>
      <w:r w:rsidRPr="00C3058A">
        <w:rPr>
          <w:sz w:val="20"/>
          <w:szCs w:val="20"/>
        </w:rPr>
        <w:t xml:space="preserve"> caractérisation phénotypique recommandées pour sa taille, la production annuelle estimée de fruits, de sa santé et de garder trace de leur emplacement physique par des coordonnées géographiques avec un GPS ou d'un croquis.</w:t>
      </w:r>
    </w:p>
    <w:p w:rsidR="00C3058A" w:rsidRPr="00C3058A" w:rsidRDefault="00C3058A" w:rsidP="00C3058A">
      <w:pPr>
        <w:spacing w:after="0" w:line="240" w:lineRule="auto"/>
        <w:rPr>
          <w:sz w:val="20"/>
          <w:szCs w:val="20"/>
        </w:rPr>
      </w:pPr>
      <w:r w:rsidRPr="00C3058A">
        <w:rPr>
          <w:sz w:val="20"/>
          <w:szCs w:val="20"/>
        </w:rPr>
        <w:t>3.2.</w:t>
      </w:r>
      <w:r w:rsidR="00AF31C3">
        <w:rPr>
          <w:sz w:val="20"/>
          <w:szCs w:val="20"/>
        </w:rPr>
        <w:t xml:space="preserve">  Période de collecte des fruits</w:t>
      </w:r>
    </w:p>
    <w:p w:rsidR="00C3058A" w:rsidRDefault="00C3058A" w:rsidP="00C3058A">
      <w:pPr>
        <w:spacing w:after="0" w:line="240" w:lineRule="auto"/>
        <w:rPr>
          <w:sz w:val="20"/>
          <w:szCs w:val="20"/>
        </w:rPr>
      </w:pPr>
      <w:r w:rsidRPr="00C3058A">
        <w:rPr>
          <w:sz w:val="20"/>
          <w:szCs w:val="20"/>
        </w:rPr>
        <w:t>Pour planifier et organiser un programme de collecte en temps opportun et efficace est essentiel de connaître le moment où l'espèce a des fruits mûrs en plus grande abondance dans la région. Cette période commence en Avril, Mai et Juin s'intensifier.</w:t>
      </w:r>
    </w:p>
    <w:p w:rsidR="00B15085" w:rsidRPr="00B15085" w:rsidRDefault="00B15085" w:rsidP="00B15085">
      <w:pPr>
        <w:spacing w:after="0" w:line="240" w:lineRule="auto"/>
        <w:rPr>
          <w:sz w:val="20"/>
          <w:szCs w:val="20"/>
        </w:rPr>
      </w:pPr>
    </w:p>
    <w:p w:rsidR="00B15085" w:rsidRPr="00B15085" w:rsidRDefault="00B15085" w:rsidP="00B15085">
      <w:pPr>
        <w:spacing w:after="0" w:line="240" w:lineRule="auto"/>
        <w:rPr>
          <w:sz w:val="20"/>
          <w:szCs w:val="20"/>
        </w:rPr>
      </w:pPr>
      <w:r w:rsidRPr="00B15085">
        <w:rPr>
          <w:sz w:val="20"/>
          <w:szCs w:val="20"/>
        </w:rPr>
        <w:t>Les fruits commencent à devenir la maturité physiologique du vert au jaune-orange. Le degré de maturité se reflète dans les différents tons de fruits.</w:t>
      </w:r>
    </w:p>
    <w:p w:rsidR="00B15085" w:rsidRPr="00B15085" w:rsidRDefault="00B15085" w:rsidP="00B15085">
      <w:pPr>
        <w:spacing w:after="0" w:line="240" w:lineRule="auto"/>
        <w:rPr>
          <w:sz w:val="20"/>
          <w:szCs w:val="20"/>
        </w:rPr>
      </w:pPr>
      <w:r w:rsidRPr="00B15085">
        <w:rPr>
          <w:sz w:val="20"/>
          <w:szCs w:val="20"/>
        </w:rPr>
        <w:t>Avant de commencer la collecte de spécimens sélectionnés, nous vous recommandons d'obtenir un petit goût des fruits de jusqu'à 10-15 fruits provenant de différentes parties de l'arbre et de les ouvrir directement à inspecter les conditions matérielles et le degré de maturité des graines. Il a été observé qu'il existe une corrélation entre la couleur du fruit et la maturité des graines, de sorte que la plus jaune du fruit sommes confiants d'une maturité de la graine bonne (Figure 2).</w:t>
      </w:r>
    </w:p>
    <w:p w:rsidR="00B8089F" w:rsidRDefault="00B8089F" w:rsidP="00B15085">
      <w:pPr>
        <w:spacing w:after="0" w:line="240" w:lineRule="auto"/>
        <w:rPr>
          <w:sz w:val="20"/>
          <w:szCs w:val="20"/>
        </w:rPr>
      </w:pPr>
    </w:p>
    <w:p w:rsidR="00B15085" w:rsidRPr="00B15085" w:rsidRDefault="00B8089F" w:rsidP="00B15085">
      <w:pPr>
        <w:spacing w:after="0" w:line="240" w:lineRule="auto"/>
        <w:rPr>
          <w:sz w:val="20"/>
          <w:szCs w:val="20"/>
        </w:rPr>
      </w:pPr>
      <w:bookmarkStart w:id="0" w:name="_GoBack"/>
      <w:r>
        <w:rPr>
          <w:sz w:val="20"/>
          <w:szCs w:val="20"/>
        </w:rPr>
        <w:t>Collecte des</w:t>
      </w:r>
      <w:r w:rsidR="00B15085" w:rsidRPr="00B15085">
        <w:rPr>
          <w:sz w:val="20"/>
          <w:szCs w:val="20"/>
        </w:rPr>
        <w:t xml:space="preserve"> fruits</w:t>
      </w:r>
    </w:p>
    <w:p w:rsidR="00B8089F" w:rsidRDefault="00B8089F" w:rsidP="00B15085">
      <w:pPr>
        <w:spacing w:after="0" w:line="240" w:lineRule="auto"/>
        <w:rPr>
          <w:sz w:val="20"/>
          <w:szCs w:val="20"/>
        </w:rPr>
      </w:pPr>
    </w:p>
    <w:p w:rsidR="00374CE5" w:rsidRDefault="00B15085" w:rsidP="00B15085">
      <w:pPr>
        <w:spacing w:after="0" w:line="240" w:lineRule="auto"/>
        <w:rPr>
          <w:sz w:val="20"/>
          <w:szCs w:val="20"/>
        </w:rPr>
      </w:pPr>
      <w:r w:rsidRPr="00B15085">
        <w:rPr>
          <w:sz w:val="20"/>
          <w:szCs w:val="20"/>
        </w:rPr>
        <w:t>Afin de recueillir les fruits mûrs de Ramon</w:t>
      </w:r>
      <w:r w:rsidR="00F468D6">
        <w:rPr>
          <w:sz w:val="20"/>
          <w:szCs w:val="20"/>
        </w:rPr>
        <w:t>, voici ce qui</w:t>
      </w:r>
      <w:r w:rsidRPr="00B15085">
        <w:rPr>
          <w:sz w:val="20"/>
          <w:szCs w:val="20"/>
        </w:rPr>
        <w:t xml:space="preserve"> peut être utilisé</w:t>
      </w:r>
      <w:r w:rsidR="00F468D6">
        <w:rPr>
          <w:sz w:val="20"/>
          <w:szCs w:val="20"/>
        </w:rPr>
        <w:t>,</w:t>
      </w:r>
      <w:r w:rsidRPr="00B15085">
        <w:rPr>
          <w:sz w:val="20"/>
          <w:szCs w:val="20"/>
        </w:rPr>
        <w:t xml:space="preserve"> comme indiqué dans le tableau 2 ci-dessous:</w:t>
      </w:r>
    </w:p>
    <w:p w:rsidR="00B15085" w:rsidRDefault="00B15085" w:rsidP="00B15085">
      <w:pPr>
        <w:spacing w:after="0" w:line="240" w:lineRule="auto"/>
        <w:rPr>
          <w:sz w:val="20"/>
          <w:szCs w:val="20"/>
        </w:rPr>
      </w:pPr>
    </w:p>
    <w:tbl>
      <w:tblPr>
        <w:tblW w:w="10350"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493"/>
        <w:gridCol w:w="5857"/>
      </w:tblGrid>
      <w:tr w:rsidR="00B15085" w:rsidTr="00F468D6">
        <w:trPr>
          <w:trHeight w:hRule="exact" w:val="481"/>
        </w:trPr>
        <w:tc>
          <w:tcPr>
            <w:tcW w:w="4493" w:type="dxa"/>
            <w:shd w:val="solid" w:color="808080" w:fill="auto"/>
            <w:vAlign w:val="center"/>
          </w:tcPr>
          <w:p w:rsidR="00B15085" w:rsidRDefault="00B15085" w:rsidP="00F468D6">
            <w:pPr>
              <w:kinsoku w:val="0"/>
              <w:overflowPunct w:val="0"/>
              <w:spacing w:after="0" w:line="240" w:lineRule="auto"/>
              <w:textAlignment w:val="baseline"/>
              <w:rPr>
                <w:rFonts w:ascii="Calibri" w:hAnsi="Calibri" w:cs="Calibri"/>
                <w:b/>
                <w:bCs/>
                <w:color w:val="000000"/>
              </w:rPr>
            </w:pPr>
            <w:r w:rsidRPr="00B15085">
              <w:rPr>
                <w:noProof/>
              </w:rPr>
              <w:t>Matériel et équipement</w:t>
            </w:r>
          </w:p>
        </w:tc>
        <w:tc>
          <w:tcPr>
            <w:tcW w:w="5857" w:type="dxa"/>
            <w:shd w:val="solid" w:color="808080" w:fill="auto"/>
            <w:vAlign w:val="center"/>
          </w:tcPr>
          <w:p w:rsidR="00B15085" w:rsidRDefault="00B15085" w:rsidP="00F468D6">
            <w:pPr>
              <w:kinsoku w:val="0"/>
              <w:overflowPunct w:val="0"/>
              <w:spacing w:after="0" w:line="240" w:lineRule="auto"/>
              <w:textAlignment w:val="baseline"/>
              <w:rPr>
                <w:rFonts w:ascii="Calibri" w:hAnsi="Calibri" w:cs="Calibri"/>
                <w:b/>
                <w:bCs/>
                <w:color w:val="000000"/>
              </w:rPr>
            </w:pPr>
            <w:r>
              <w:rPr>
                <w:rFonts w:ascii="Calibri" w:hAnsi="Calibri" w:cs="Calibri"/>
                <w:b/>
                <w:bCs/>
                <w:color w:val="000000"/>
              </w:rPr>
              <w:t xml:space="preserve">Utilisation ou </w:t>
            </w:r>
            <w:r w:rsidRPr="00B15085">
              <w:rPr>
                <w:rFonts w:ascii="Calibri" w:hAnsi="Calibri" w:cs="Calibri"/>
                <w:b/>
                <w:bCs/>
                <w:color w:val="000000"/>
              </w:rPr>
              <w:t>fonction</w:t>
            </w:r>
          </w:p>
        </w:tc>
      </w:tr>
      <w:tr w:rsidR="00B15085" w:rsidTr="00B14926">
        <w:trPr>
          <w:trHeight w:val="7811"/>
        </w:trPr>
        <w:tc>
          <w:tcPr>
            <w:tcW w:w="4493" w:type="dxa"/>
          </w:tcPr>
          <w:p w:rsidR="00B15085" w:rsidRP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Un crochet en métal</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Poignée télescopique (</w:t>
            </w:r>
            <w:r w:rsidR="00B8089F">
              <w:rPr>
                <w:rFonts w:ascii="Calibri" w:hAnsi="Calibri" w:cs="Calibri"/>
              </w:rPr>
              <w:t>en aluminium ou en bois dur</w:t>
            </w:r>
            <w:r w:rsidRPr="00B15085">
              <w:rPr>
                <w:rFonts w:ascii="Calibri" w:hAnsi="Calibri" w:cs="Calibri"/>
              </w:rPr>
              <w:t>)</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Equipement pour les arbres d'échelle, des éperons,</w:t>
            </w:r>
            <w:r w:rsidR="00B8089F">
              <w:rPr>
                <w:rFonts w:ascii="Calibri" w:hAnsi="Calibri" w:cs="Calibri"/>
              </w:rPr>
              <w:t xml:space="preserve"> </w:t>
            </w:r>
            <w:r w:rsidRPr="00B15085">
              <w:rPr>
                <w:rFonts w:ascii="Calibri" w:hAnsi="Calibri" w:cs="Calibri"/>
              </w:rPr>
              <w:t>cordes, ceintures de sécurité, casque, etc.</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8089F" w:rsidP="00F468D6">
            <w:pPr>
              <w:kinsoku w:val="0"/>
              <w:overflowPunct w:val="0"/>
              <w:spacing w:after="0" w:line="240" w:lineRule="auto"/>
              <w:textAlignment w:val="baseline"/>
              <w:rPr>
                <w:rFonts w:ascii="Calibri" w:hAnsi="Calibri" w:cs="Calibri"/>
              </w:rPr>
            </w:pPr>
            <w:r>
              <w:rPr>
                <w:rFonts w:ascii="Calibri" w:hAnsi="Calibri" w:cs="Calibri"/>
              </w:rPr>
              <w:t>E</w:t>
            </w:r>
            <w:r w:rsidR="00B15085" w:rsidRPr="00B15085">
              <w:rPr>
                <w:rFonts w:ascii="Calibri" w:hAnsi="Calibri" w:cs="Calibri"/>
              </w:rPr>
              <w:t>chelle</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Bâches, plastique, tissu, etc.</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8089F" w:rsidP="00F468D6">
            <w:pPr>
              <w:kinsoku w:val="0"/>
              <w:overflowPunct w:val="0"/>
              <w:spacing w:after="0" w:line="240" w:lineRule="auto"/>
              <w:textAlignment w:val="baseline"/>
              <w:rPr>
                <w:rFonts w:ascii="Calibri" w:hAnsi="Calibri" w:cs="Calibri"/>
              </w:rPr>
            </w:pPr>
            <w:r>
              <w:rPr>
                <w:rFonts w:ascii="Calibri" w:hAnsi="Calibri" w:cs="Calibri"/>
              </w:rPr>
              <w:t>S</w:t>
            </w:r>
            <w:r w:rsidR="00B15085" w:rsidRPr="00B15085">
              <w:rPr>
                <w:rFonts w:ascii="Calibri" w:hAnsi="Calibri" w:cs="Calibri"/>
              </w:rPr>
              <w:t>acs de raphia ou un sac en plastique</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Seaux (facultatif)</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Fil de raphia</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Mots-clés</w:t>
            </w:r>
          </w:p>
          <w:p w:rsidR="00B8089F" w:rsidRDefault="00B8089F" w:rsidP="00F468D6">
            <w:pPr>
              <w:kinsoku w:val="0"/>
              <w:overflowPunct w:val="0"/>
              <w:spacing w:after="0" w:line="240" w:lineRule="auto"/>
              <w:textAlignment w:val="baseline"/>
              <w:rPr>
                <w:rFonts w:ascii="Calibri" w:hAnsi="Calibri" w:cs="Calibri"/>
              </w:rPr>
            </w:pPr>
          </w:p>
          <w:p w:rsidR="00B15085" w:rsidRP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GPS</w:t>
            </w:r>
          </w:p>
          <w:p w:rsidR="00B8089F" w:rsidRDefault="00B8089F" w:rsidP="00F468D6">
            <w:pPr>
              <w:kinsoku w:val="0"/>
              <w:overflowPunct w:val="0"/>
              <w:spacing w:after="0" w:line="240" w:lineRule="auto"/>
              <w:textAlignment w:val="baseline"/>
              <w:rPr>
                <w:rFonts w:ascii="Calibri" w:hAnsi="Calibri" w:cs="Calibri"/>
              </w:rPr>
            </w:pPr>
          </w:p>
          <w:p w:rsidR="00B15085" w:rsidRDefault="00B15085" w:rsidP="00F468D6">
            <w:pPr>
              <w:kinsoku w:val="0"/>
              <w:overflowPunct w:val="0"/>
              <w:spacing w:after="0" w:line="240" w:lineRule="auto"/>
              <w:textAlignment w:val="baseline"/>
              <w:rPr>
                <w:rFonts w:ascii="Calibri" w:hAnsi="Calibri" w:cs="Calibri"/>
              </w:rPr>
            </w:pPr>
            <w:r w:rsidRPr="00B15085">
              <w:rPr>
                <w:rFonts w:ascii="Calibri" w:hAnsi="Calibri" w:cs="Calibri"/>
              </w:rPr>
              <w:t>Diamètre de bande (</w:t>
            </w:r>
            <w:r w:rsidR="00B8089F">
              <w:rPr>
                <w:rFonts w:ascii="Calibri" w:hAnsi="Calibri" w:cs="Calibri"/>
              </w:rPr>
              <w:t xml:space="preserve">les </w:t>
            </w:r>
            <w:r w:rsidRPr="00B15085">
              <w:rPr>
                <w:rFonts w:ascii="Calibri" w:hAnsi="Calibri" w:cs="Calibri"/>
              </w:rPr>
              <w:t>bande</w:t>
            </w:r>
            <w:r w:rsidR="00B8089F">
              <w:rPr>
                <w:rFonts w:ascii="Calibri" w:hAnsi="Calibri" w:cs="Calibri"/>
              </w:rPr>
              <w:t>s</w:t>
            </w:r>
            <w:r w:rsidRPr="00B15085">
              <w:rPr>
                <w:rFonts w:ascii="Calibri" w:hAnsi="Calibri" w:cs="Calibri"/>
              </w:rPr>
              <w:t xml:space="preserve"> peuvent être </w:t>
            </w:r>
            <w:proofErr w:type="gramStart"/>
            <w:r w:rsidRPr="00B15085">
              <w:rPr>
                <w:rFonts w:ascii="Calibri" w:hAnsi="Calibri" w:cs="Calibri"/>
              </w:rPr>
              <w:t>utilisés</w:t>
            </w:r>
            <w:proofErr w:type="gramEnd"/>
            <w:r w:rsidR="00B8089F">
              <w:rPr>
                <w:rFonts w:ascii="Calibri" w:hAnsi="Calibri" w:cs="Calibri"/>
              </w:rPr>
              <w:t xml:space="preserve"> en valeur </w:t>
            </w:r>
            <w:r w:rsidRPr="00B15085">
              <w:rPr>
                <w:rFonts w:ascii="Calibri" w:hAnsi="Calibri" w:cs="Calibri"/>
              </w:rPr>
              <w:t>métrique)</w:t>
            </w:r>
          </w:p>
          <w:p w:rsidR="00B8089F" w:rsidRPr="00B15085" w:rsidRDefault="00B8089F" w:rsidP="00F468D6">
            <w:pPr>
              <w:kinsoku w:val="0"/>
              <w:overflowPunct w:val="0"/>
              <w:spacing w:after="0" w:line="240" w:lineRule="auto"/>
              <w:textAlignment w:val="baseline"/>
              <w:rPr>
                <w:rFonts w:ascii="Calibri" w:hAnsi="Calibri" w:cs="Calibri"/>
              </w:rPr>
            </w:pPr>
          </w:p>
          <w:p w:rsidR="00B15085" w:rsidRDefault="00B8089F" w:rsidP="00F468D6">
            <w:pPr>
              <w:kinsoku w:val="0"/>
              <w:overflowPunct w:val="0"/>
              <w:spacing w:after="0" w:line="240" w:lineRule="auto"/>
              <w:textAlignment w:val="baseline"/>
              <w:rPr>
                <w:rFonts w:ascii="Calibri" w:hAnsi="Calibri" w:cs="Calibri"/>
              </w:rPr>
            </w:pPr>
            <w:r>
              <w:rPr>
                <w:rFonts w:ascii="Calibri" w:hAnsi="Calibri" w:cs="Calibri"/>
              </w:rPr>
              <w:t>Appareil photo</w:t>
            </w:r>
            <w:r w:rsidR="00B15085">
              <w:rPr>
                <w:rFonts w:ascii="Calibri" w:hAnsi="Calibri" w:cs="Calibri"/>
              </w:rPr>
              <w:t xml:space="preserve"> </w:t>
            </w:r>
            <w:r w:rsidR="00B15085" w:rsidRPr="00B15085">
              <w:rPr>
                <w:rFonts w:ascii="Calibri" w:hAnsi="Calibri" w:cs="Calibri"/>
              </w:rPr>
              <w:t>numérique</w:t>
            </w:r>
          </w:p>
          <w:p w:rsidR="00B8089F" w:rsidRDefault="00B8089F" w:rsidP="00F468D6">
            <w:pPr>
              <w:kinsoku w:val="0"/>
              <w:overflowPunct w:val="0"/>
              <w:spacing w:after="0" w:line="240" w:lineRule="auto"/>
              <w:textAlignment w:val="baseline"/>
              <w:rPr>
                <w:rFonts w:ascii="Calibri" w:hAnsi="Calibri" w:cs="Calibri"/>
              </w:rPr>
            </w:pPr>
          </w:p>
          <w:p w:rsidR="00B14926" w:rsidRDefault="00B14926" w:rsidP="00F468D6">
            <w:pPr>
              <w:kinsoku w:val="0"/>
              <w:overflowPunct w:val="0"/>
              <w:spacing w:after="0" w:line="240" w:lineRule="auto"/>
              <w:textAlignment w:val="baseline"/>
              <w:rPr>
                <w:rFonts w:ascii="Calibri" w:hAnsi="Calibri" w:cs="Calibri"/>
              </w:rPr>
            </w:pPr>
            <w:r w:rsidRPr="00B14926">
              <w:rPr>
                <w:rFonts w:ascii="Calibri" w:hAnsi="Calibri" w:cs="Calibri"/>
              </w:rPr>
              <w:t>Une certaine forme de transport</w:t>
            </w:r>
          </w:p>
        </w:tc>
        <w:tc>
          <w:tcPr>
            <w:tcW w:w="5857" w:type="dxa"/>
          </w:tcPr>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 secouer les branches et</w:t>
            </w:r>
            <w:r w:rsidR="00B8089F">
              <w:rPr>
                <w:rFonts w:ascii="Calibri" w:hAnsi="Calibri" w:cs="Calibri"/>
              </w:rPr>
              <w:t xml:space="preserve"> les</w:t>
            </w:r>
            <w:r w:rsidRPr="00B15085">
              <w:rPr>
                <w:rFonts w:ascii="Calibri" w:hAnsi="Calibri" w:cs="Calibri"/>
              </w:rPr>
              <w:t xml:space="preserve"> atteindre</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Pr>
                <w:rFonts w:ascii="Calibri" w:hAnsi="Calibri" w:cs="Calibri"/>
              </w:rPr>
              <w:t>D</w:t>
            </w:r>
            <w:r w:rsidR="00B15085" w:rsidRPr="00B15085">
              <w:rPr>
                <w:rFonts w:ascii="Calibri" w:hAnsi="Calibri" w:cs="Calibri"/>
              </w:rPr>
              <w:t>étachement des fruits</w:t>
            </w: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Soutien et l'extension du crochet métallique</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 être en mesure de grimper aux arbres avec facilité et de sécurité</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 atteindre les branches de l'arbre sans avoir à grimper</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 xml:space="preserve">Pour mettre sous la zone de collecte des arbres et profiter des </w:t>
            </w:r>
            <w:r w:rsidR="00B8089F">
              <w:rPr>
                <w:rFonts w:ascii="Calibri" w:hAnsi="Calibri" w:cs="Calibri"/>
              </w:rPr>
              <w:t>fruits</w:t>
            </w: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 emballer les fruits récoltés</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 faciliter la collecte de fruits</w:t>
            </w:r>
            <w:r w:rsidR="00B8089F">
              <w:rPr>
                <w:rFonts w:ascii="Calibri" w:hAnsi="Calibri" w:cs="Calibri"/>
              </w:rPr>
              <w:t xml:space="preserve"> </w:t>
            </w:r>
            <w:r w:rsidRPr="00B15085">
              <w:rPr>
                <w:rFonts w:ascii="Calibri" w:hAnsi="Calibri" w:cs="Calibri"/>
              </w:rPr>
              <w:t>dispersés sous l'arbre</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 serrer les sacs</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 marquer beaucoup et le score de fruits</w:t>
            </w:r>
            <w:r w:rsidR="00B8089F">
              <w:rPr>
                <w:rFonts w:ascii="Calibri" w:hAnsi="Calibri" w:cs="Calibri"/>
              </w:rPr>
              <w:t xml:space="preserve"> </w:t>
            </w:r>
            <w:r w:rsidRPr="00B15085">
              <w:rPr>
                <w:rFonts w:ascii="Calibri" w:hAnsi="Calibri" w:cs="Calibri"/>
              </w:rPr>
              <w:t>récoltés</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P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w:t>
            </w:r>
            <w:r w:rsidR="00B8089F">
              <w:rPr>
                <w:rFonts w:ascii="Calibri" w:hAnsi="Calibri" w:cs="Calibri"/>
              </w:rPr>
              <w:t xml:space="preserve"> noter</w:t>
            </w:r>
            <w:r w:rsidRPr="00B15085">
              <w:rPr>
                <w:rFonts w:ascii="Calibri" w:hAnsi="Calibri" w:cs="Calibri"/>
              </w:rPr>
              <w:t xml:space="preserve"> les coordonnées géographiques des arbres récoltés</w:t>
            </w:r>
          </w:p>
          <w:p w:rsidR="00B8089F"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Pr="00B15085"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Pr>
                <w:rFonts w:ascii="Calibri" w:hAnsi="Calibri" w:cs="Calibri"/>
              </w:rPr>
              <w:t>Pour avoir plus de détails sur le</w:t>
            </w:r>
            <w:r w:rsidR="00B15085" w:rsidRPr="00B15085">
              <w:rPr>
                <w:rFonts w:ascii="Calibri" w:hAnsi="Calibri" w:cs="Calibri"/>
              </w:rPr>
              <w:t xml:space="preserve"> diamètre à hauteur de</w:t>
            </w:r>
          </w:p>
          <w:p w:rsidR="00B15085" w:rsidRDefault="00B15085"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r w:rsidRPr="00B15085">
              <w:rPr>
                <w:rFonts w:ascii="Calibri" w:hAnsi="Calibri" w:cs="Calibri"/>
              </w:rPr>
              <w:t>Tour de poitrine (DHP) des arbres récoltés</w:t>
            </w:r>
          </w:p>
          <w:p w:rsidR="00B8089F" w:rsidRPr="00B15085" w:rsidRDefault="00B8089F" w:rsidP="00F468D6">
            <w:pPr>
              <w:tabs>
                <w:tab w:val="left" w:pos="792"/>
                <w:tab w:val="left" w:pos="1656"/>
                <w:tab w:val="left" w:pos="2232"/>
                <w:tab w:val="left" w:pos="3024"/>
                <w:tab w:val="left" w:pos="3384"/>
                <w:tab w:val="right" w:pos="4392"/>
              </w:tabs>
              <w:kinsoku w:val="0"/>
              <w:overflowPunct w:val="0"/>
              <w:spacing w:after="0" w:line="240" w:lineRule="auto"/>
              <w:textAlignment w:val="baseline"/>
              <w:rPr>
                <w:rFonts w:ascii="Calibri" w:hAnsi="Calibri" w:cs="Calibri"/>
              </w:rPr>
            </w:pPr>
          </w:p>
          <w:p w:rsidR="00B15085" w:rsidRDefault="00B15085" w:rsidP="00F468D6">
            <w:pPr>
              <w:tabs>
                <w:tab w:val="left" w:pos="648"/>
                <w:tab w:val="left" w:pos="1296"/>
                <w:tab w:val="left" w:pos="1728"/>
                <w:tab w:val="left" w:pos="2520"/>
                <w:tab w:val="left" w:pos="3744"/>
                <w:tab w:val="right" w:pos="4392"/>
              </w:tabs>
              <w:kinsoku w:val="0"/>
              <w:overflowPunct w:val="0"/>
              <w:spacing w:after="0" w:line="240" w:lineRule="auto"/>
              <w:textAlignment w:val="baseline"/>
              <w:rPr>
                <w:rFonts w:ascii="Calibri" w:hAnsi="Calibri" w:cs="Calibri"/>
              </w:rPr>
            </w:pPr>
            <w:r w:rsidRPr="00B15085">
              <w:rPr>
                <w:rFonts w:ascii="Calibri" w:hAnsi="Calibri" w:cs="Calibri"/>
              </w:rPr>
              <w:t>Pour un enregistrement photographique des arbres</w:t>
            </w:r>
          </w:p>
          <w:p w:rsidR="00B8089F" w:rsidRDefault="00B8089F" w:rsidP="00F468D6">
            <w:pPr>
              <w:tabs>
                <w:tab w:val="left" w:pos="648"/>
                <w:tab w:val="left" w:pos="1296"/>
                <w:tab w:val="left" w:pos="1728"/>
                <w:tab w:val="left" w:pos="2520"/>
                <w:tab w:val="left" w:pos="3744"/>
                <w:tab w:val="right" w:pos="4392"/>
              </w:tabs>
              <w:kinsoku w:val="0"/>
              <w:overflowPunct w:val="0"/>
              <w:spacing w:after="0" w:line="240" w:lineRule="auto"/>
              <w:textAlignment w:val="baseline"/>
              <w:rPr>
                <w:rFonts w:ascii="Calibri" w:hAnsi="Calibri" w:cs="Calibri"/>
              </w:rPr>
            </w:pPr>
          </w:p>
          <w:p w:rsidR="00B14926" w:rsidRDefault="00B14926" w:rsidP="00F468D6">
            <w:pPr>
              <w:tabs>
                <w:tab w:val="left" w:pos="648"/>
                <w:tab w:val="left" w:pos="1296"/>
                <w:tab w:val="left" w:pos="1728"/>
                <w:tab w:val="left" w:pos="2520"/>
                <w:tab w:val="left" w:pos="3744"/>
                <w:tab w:val="right" w:pos="4392"/>
              </w:tabs>
              <w:kinsoku w:val="0"/>
              <w:overflowPunct w:val="0"/>
              <w:spacing w:after="0" w:line="240" w:lineRule="auto"/>
              <w:textAlignment w:val="baseline"/>
              <w:rPr>
                <w:rFonts w:ascii="Calibri" w:hAnsi="Calibri" w:cs="Calibri"/>
              </w:rPr>
            </w:pPr>
            <w:r w:rsidRPr="00B14926">
              <w:rPr>
                <w:rFonts w:ascii="Calibri" w:hAnsi="Calibri" w:cs="Calibri"/>
              </w:rPr>
              <w:t>Pour le transfert des fruits récoltés sur le site de la prestation</w:t>
            </w:r>
          </w:p>
        </w:tc>
      </w:tr>
    </w:tbl>
    <w:p w:rsidR="00154FBB" w:rsidRPr="00154FBB" w:rsidRDefault="00154FBB" w:rsidP="00154FBB">
      <w:pPr>
        <w:spacing w:after="0" w:line="240" w:lineRule="auto"/>
        <w:rPr>
          <w:sz w:val="20"/>
          <w:szCs w:val="20"/>
        </w:rPr>
      </w:pPr>
      <w:r w:rsidRPr="00154FBB">
        <w:rPr>
          <w:sz w:val="20"/>
          <w:szCs w:val="20"/>
        </w:rPr>
        <w:lastRenderedPageBreak/>
        <w:t>Ayant le matériel identifié dans le tableau 2</w:t>
      </w:r>
      <w:r w:rsidR="00B8089F">
        <w:rPr>
          <w:sz w:val="20"/>
          <w:szCs w:val="20"/>
        </w:rPr>
        <w:t>,</w:t>
      </w:r>
      <w:r w:rsidRPr="00154FBB">
        <w:rPr>
          <w:sz w:val="20"/>
          <w:szCs w:val="20"/>
        </w:rPr>
        <w:t xml:space="preserve"> le fruit </w:t>
      </w:r>
      <w:proofErr w:type="spellStart"/>
      <w:r w:rsidRPr="00154FBB">
        <w:rPr>
          <w:sz w:val="20"/>
          <w:szCs w:val="20"/>
        </w:rPr>
        <w:t>ramon</w:t>
      </w:r>
      <w:proofErr w:type="spellEnd"/>
      <w:r w:rsidRPr="00154FBB">
        <w:rPr>
          <w:sz w:val="20"/>
          <w:szCs w:val="20"/>
        </w:rPr>
        <w:t xml:space="preserve"> peut être récoltée de 2 façons: a) de l'arbre ou b) à partir du sol à l'aide d'une poignée télescopique. Il est important de noter que dans la pratique, il a été observé que les fruits de cette espèce pour atteindre la maturité physiologique est facile d'atteindre les déloger en secouant vigoureusement les branches. Les deux techniques sont expliquées ci-dessous.</w:t>
      </w:r>
    </w:p>
    <w:p w:rsidR="00154FBB" w:rsidRDefault="00154FBB" w:rsidP="00154FBB">
      <w:pPr>
        <w:spacing w:after="0" w:line="240" w:lineRule="auto"/>
        <w:rPr>
          <w:sz w:val="20"/>
          <w:szCs w:val="20"/>
        </w:rPr>
      </w:pPr>
    </w:p>
    <w:p w:rsidR="00154FBB" w:rsidRPr="00154FBB" w:rsidRDefault="00154FBB" w:rsidP="00154FBB">
      <w:pPr>
        <w:spacing w:after="0" w:line="240" w:lineRule="auto"/>
        <w:rPr>
          <w:sz w:val="20"/>
          <w:szCs w:val="20"/>
        </w:rPr>
      </w:pPr>
      <w:r w:rsidRPr="00154FBB">
        <w:rPr>
          <w:sz w:val="20"/>
          <w:szCs w:val="20"/>
        </w:rPr>
        <w:t>3.3.1. Recueillir les fruits de l'arbre</w:t>
      </w:r>
    </w:p>
    <w:p w:rsidR="00154FBB" w:rsidRPr="00154FBB" w:rsidRDefault="00154FBB" w:rsidP="00154FBB">
      <w:pPr>
        <w:spacing w:after="0" w:line="240" w:lineRule="auto"/>
        <w:rPr>
          <w:sz w:val="20"/>
          <w:szCs w:val="20"/>
        </w:rPr>
      </w:pPr>
      <w:r w:rsidRPr="00154FBB">
        <w:rPr>
          <w:sz w:val="20"/>
          <w:szCs w:val="20"/>
        </w:rPr>
        <w:t xml:space="preserve">En l'état, les arbres de cette espèce sont de taille moyenne (10 à 15 m), atteignant ainsi la coupe peut être avec l'aide d'une échelle allant jusqu'à 10 mois médiane grimper dans l'arbre, à condition que l'équipe </w:t>
      </w:r>
      <w:proofErr w:type="gramStart"/>
      <w:r w:rsidRPr="00154FBB">
        <w:rPr>
          <w:sz w:val="20"/>
          <w:szCs w:val="20"/>
        </w:rPr>
        <w:t>a</w:t>
      </w:r>
      <w:proofErr w:type="gramEnd"/>
      <w:r w:rsidRPr="00154FBB">
        <w:rPr>
          <w:sz w:val="20"/>
          <w:szCs w:val="20"/>
        </w:rPr>
        <w:t xml:space="preserve"> l'échelle appropriée et l'expérience nécessaires pour exercer cette activité.</w:t>
      </w:r>
    </w:p>
    <w:p w:rsidR="00154FBB" w:rsidRPr="00154FBB" w:rsidRDefault="00154FBB" w:rsidP="00154FBB">
      <w:pPr>
        <w:spacing w:after="0" w:line="240" w:lineRule="auto"/>
        <w:rPr>
          <w:sz w:val="20"/>
          <w:szCs w:val="20"/>
        </w:rPr>
      </w:pPr>
      <w:r w:rsidRPr="00154FBB">
        <w:rPr>
          <w:sz w:val="20"/>
          <w:szCs w:val="20"/>
        </w:rPr>
        <w:t>Grimper dans l'arbre est placé au milieu de la coupe et après s'être conformé aux mesures de sécurité afin de prévenir une chute, continue à récolter les fruits de l'. Milieu et haut de l'arbre La démolition des fruits est réalisée en utilisant le crochet en métal, tenant des branches et en secouant les rend difficiles à atteindre le détachement de fruits mûrs.</w:t>
      </w:r>
    </w:p>
    <w:p w:rsidR="00154FBB" w:rsidRPr="00154FBB" w:rsidRDefault="00154FBB" w:rsidP="00154FBB">
      <w:pPr>
        <w:spacing w:after="0" w:line="240" w:lineRule="auto"/>
        <w:rPr>
          <w:sz w:val="20"/>
          <w:szCs w:val="20"/>
        </w:rPr>
      </w:pPr>
      <w:r w:rsidRPr="00154FBB">
        <w:rPr>
          <w:sz w:val="20"/>
          <w:szCs w:val="20"/>
        </w:rPr>
        <w:t>Les fruits de tomber et sont éparpillés sur le sol. Vous pouvez utiliser des bâches ou stratégiquement placés sous l'arbre à profiter des avantages et d'éviter la dispersion des fruits sur le terrain.</w:t>
      </w:r>
    </w:p>
    <w:p w:rsidR="00154FBB" w:rsidRDefault="00154FBB" w:rsidP="00154FBB">
      <w:pPr>
        <w:spacing w:after="0" w:line="240" w:lineRule="auto"/>
        <w:rPr>
          <w:sz w:val="20"/>
          <w:szCs w:val="20"/>
        </w:rPr>
      </w:pPr>
    </w:p>
    <w:p w:rsidR="00154FBB" w:rsidRPr="00154FBB" w:rsidRDefault="00154FBB" w:rsidP="00154FBB">
      <w:pPr>
        <w:spacing w:after="0" w:line="240" w:lineRule="auto"/>
        <w:rPr>
          <w:sz w:val="20"/>
          <w:szCs w:val="20"/>
        </w:rPr>
      </w:pPr>
      <w:r w:rsidRPr="00154FBB">
        <w:rPr>
          <w:sz w:val="20"/>
          <w:szCs w:val="20"/>
        </w:rPr>
        <w:t>3.3.2. Collection de fruits de l'étage</w:t>
      </w:r>
    </w:p>
    <w:p w:rsidR="00154FBB" w:rsidRPr="00154FBB" w:rsidRDefault="00154FBB" w:rsidP="00154FBB">
      <w:pPr>
        <w:spacing w:after="0" w:line="240" w:lineRule="auto"/>
        <w:rPr>
          <w:sz w:val="20"/>
          <w:szCs w:val="20"/>
        </w:rPr>
      </w:pPr>
      <w:r w:rsidRPr="00154FBB">
        <w:rPr>
          <w:sz w:val="20"/>
          <w:szCs w:val="20"/>
        </w:rPr>
        <w:t xml:space="preserve">Si vous sélectionnez faible arbres qui </w:t>
      </w:r>
      <w:proofErr w:type="gramStart"/>
      <w:r w:rsidRPr="00154FBB">
        <w:rPr>
          <w:sz w:val="20"/>
          <w:szCs w:val="20"/>
        </w:rPr>
        <w:t>poussent</w:t>
      </w:r>
      <w:proofErr w:type="gramEnd"/>
      <w:r w:rsidRPr="00154FBB">
        <w:rPr>
          <w:sz w:val="20"/>
          <w:szCs w:val="20"/>
        </w:rPr>
        <w:t xml:space="preserve"> la récolte des fruits peuvent également être fabriqués à partir de l'étage. Le constat est que seulement récolter les fruits de la moitié inférieure des arbres.</w:t>
      </w:r>
    </w:p>
    <w:p w:rsidR="00B15085" w:rsidRDefault="00154FBB" w:rsidP="00154FBB">
      <w:pPr>
        <w:spacing w:after="0" w:line="240" w:lineRule="auto"/>
        <w:rPr>
          <w:sz w:val="20"/>
          <w:szCs w:val="20"/>
        </w:rPr>
      </w:pPr>
      <w:r w:rsidRPr="00154FBB">
        <w:rPr>
          <w:sz w:val="20"/>
          <w:szCs w:val="20"/>
        </w:rPr>
        <w:t>La démolition des fruits est réalisée de la même manière expliquée dans l'art antérieur, en utilisant une poignée de plus grande longueur pour le crochet en métal. La limitation du point de vue de la productivité, est que cette technique ne peut obtenir un certain nombre de fruits par arbre, ce en raison de la portée limitée de la poignée.</w:t>
      </w:r>
    </w:p>
    <w:p w:rsidR="00154FBB" w:rsidRDefault="00154FBB" w:rsidP="00154FBB">
      <w:pPr>
        <w:spacing w:after="0" w:line="240" w:lineRule="auto"/>
        <w:rPr>
          <w:sz w:val="20"/>
          <w:szCs w:val="20"/>
        </w:rPr>
      </w:pPr>
    </w:p>
    <w:p w:rsidR="00A82A62" w:rsidRPr="00A82A62" w:rsidRDefault="00A82A62" w:rsidP="00A82A62">
      <w:pPr>
        <w:spacing w:after="0" w:line="240" w:lineRule="auto"/>
        <w:rPr>
          <w:sz w:val="20"/>
          <w:szCs w:val="20"/>
        </w:rPr>
      </w:pPr>
      <w:r w:rsidRPr="00A82A62">
        <w:rPr>
          <w:sz w:val="20"/>
          <w:szCs w:val="20"/>
        </w:rPr>
        <w:t>Pour secouer les branches, il est le même comme cela est expliqué dans l'art antérieur doit donc procéder de la même manière.</w:t>
      </w:r>
    </w:p>
    <w:p w:rsidR="00A82A62" w:rsidRDefault="00A82A62" w:rsidP="00A82A62">
      <w:pPr>
        <w:spacing w:after="0" w:line="240" w:lineRule="auto"/>
        <w:rPr>
          <w:sz w:val="20"/>
          <w:szCs w:val="20"/>
        </w:rPr>
      </w:pPr>
    </w:p>
    <w:p w:rsidR="00A82A62" w:rsidRPr="00A82A62" w:rsidRDefault="00A82A62" w:rsidP="00A82A62">
      <w:pPr>
        <w:spacing w:after="0" w:line="240" w:lineRule="auto"/>
        <w:rPr>
          <w:sz w:val="20"/>
          <w:szCs w:val="20"/>
        </w:rPr>
      </w:pPr>
      <w:r w:rsidRPr="00A82A62">
        <w:rPr>
          <w:sz w:val="20"/>
          <w:szCs w:val="20"/>
        </w:rPr>
        <w:t>3,4. Ensachage des fruits récoltés</w:t>
      </w:r>
    </w:p>
    <w:p w:rsidR="00A82A62" w:rsidRPr="00A82A62" w:rsidRDefault="00A82A62" w:rsidP="00A82A62">
      <w:pPr>
        <w:spacing w:after="0" w:line="240" w:lineRule="auto"/>
        <w:rPr>
          <w:sz w:val="20"/>
          <w:szCs w:val="20"/>
        </w:rPr>
      </w:pPr>
      <w:r w:rsidRPr="00A82A62">
        <w:rPr>
          <w:sz w:val="20"/>
          <w:szCs w:val="20"/>
        </w:rPr>
        <w:t xml:space="preserve">À la suite de la démolition des fruits, ils se rassemblent dans un domaine et le nettoyage est fait en vue de la poche et ne transporter que le fruit de sorte que les branches sont enlevées, feuilles, tiges, </w:t>
      </w:r>
      <w:proofErr w:type="spellStart"/>
      <w:r w:rsidRPr="00A82A62">
        <w:rPr>
          <w:sz w:val="20"/>
          <w:szCs w:val="20"/>
        </w:rPr>
        <w:t>etc</w:t>
      </w:r>
      <w:proofErr w:type="spellEnd"/>
    </w:p>
    <w:p w:rsidR="00A82A62" w:rsidRPr="00A82A62" w:rsidRDefault="00A82A62" w:rsidP="00A82A62">
      <w:pPr>
        <w:spacing w:after="0" w:line="240" w:lineRule="auto"/>
        <w:rPr>
          <w:sz w:val="20"/>
          <w:szCs w:val="20"/>
        </w:rPr>
      </w:pPr>
      <w:r w:rsidRPr="00A82A62">
        <w:rPr>
          <w:sz w:val="20"/>
          <w:szCs w:val="20"/>
        </w:rPr>
        <w:t>Après le nettoyage, puis emballés pour l'expédition de fruits sur le site à but lucratif. L'emballage peut être fait dans des sacs en raphia ou robustes sacs en plastique, même dans le second a la possibilité d'avoir le temps de l'emballage va ajouter un peu d'eau et fermer le sac, ce qui permettra le début de la processus de fermentation, ce qui accélère la décomposition du fruit charnu.</w:t>
      </w:r>
    </w:p>
    <w:p w:rsidR="00A82A62" w:rsidRPr="00A82A62" w:rsidRDefault="00A82A62" w:rsidP="00A82A62">
      <w:pPr>
        <w:spacing w:after="0" w:line="240" w:lineRule="auto"/>
        <w:rPr>
          <w:sz w:val="20"/>
          <w:szCs w:val="20"/>
        </w:rPr>
      </w:pPr>
      <w:r w:rsidRPr="00A82A62">
        <w:rPr>
          <w:sz w:val="20"/>
          <w:szCs w:val="20"/>
        </w:rPr>
        <w:t>Chaque sac est placé une étiquette qui contient des informations concernant les espèces collectées, date et lieu de la collecte, le nombre d'arbres récoltés et d'autres données pertinentes comme les caractéristiques physiques du site, ceci afin d'éviter toute confusion entre les provenances articles recueillis au moment du transfert et la livraison sur le site à but lucratif.</w:t>
      </w:r>
    </w:p>
    <w:p w:rsidR="00A82A62" w:rsidRDefault="00A82A62" w:rsidP="00A82A62">
      <w:pPr>
        <w:spacing w:after="0" w:line="240" w:lineRule="auto"/>
        <w:rPr>
          <w:sz w:val="20"/>
          <w:szCs w:val="20"/>
        </w:rPr>
      </w:pPr>
    </w:p>
    <w:p w:rsidR="00A82A62" w:rsidRPr="00A82A62" w:rsidRDefault="00A82A62" w:rsidP="00A82A62">
      <w:pPr>
        <w:spacing w:after="0" w:line="240" w:lineRule="auto"/>
        <w:rPr>
          <w:sz w:val="20"/>
          <w:szCs w:val="20"/>
        </w:rPr>
      </w:pPr>
      <w:r w:rsidRPr="00A82A62">
        <w:rPr>
          <w:sz w:val="20"/>
          <w:szCs w:val="20"/>
        </w:rPr>
        <w:t>3,5. Transport des fruits recueillis</w:t>
      </w:r>
    </w:p>
    <w:p w:rsidR="00A82A62" w:rsidRPr="00A82A62" w:rsidRDefault="00A82A62" w:rsidP="00A82A62">
      <w:pPr>
        <w:spacing w:after="0" w:line="240" w:lineRule="auto"/>
        <w:rPr>
          <w:sz w:val="20"/>
          <w:szCs w:val="20"/>
        </w:rPr>
      </w:pPr>
      <w:r w:rsidRPr="00A82A62">
        <w:rPr>
          <w:sz w:val="20"/>
          <w:szCs w:val="20"/>
        </w:rPr>
        <w:t>Déjà avoir des fruits en sac procède à bénéficier transfert vers le site. Pour le transport, vous pouvez utiliser n'importe quel type de véhicule, ouvert ou fermé.</w:t>
      </w:r>
    </w:p>
    <w:p w:rsidR="00A82A62" w:rsidRPr="00A82A62" w:rsidRDefault="00A82A62" w:rsidP="00A82A62">
      <w:pPr>
        <w:spacing w:after="0" w:line="240" w:lineRule="auto"/>
        <w:rPr>
          <w:sz w:val="20"/>
          <w:szCs w:val="20"/>
        </w:rPr>
      </w:pPr>
      <w:r w:rsidRPr="00A82A62">
        <w:rPr>
          <w:sz w:val="20"/>
          <w:szCs w:val="20"/>
        </w:rPr>
        <w:t>Toutefois, si les recommandations suivantes:</w:t>
      </w:r>
    </w:p>
    <w:p w:rsidR="00A82A62" w:rsidRPr="00A82A62" w:rsidRDefault="00A82A62" w:rsidP="00A82A62">
      <w:pPr>
        <w:spacing w:after="0" w:line="240" w:lineRule="auto"/>
        <w:rPr>
          <w:sz w:val="20"/>
          <w:szCs w:val="20"/>
        </w:rPr>
      </w:pPr>
      <w:r w:rsidRPr="00A82A62">
        <w:rPr>
          <w:sz w:val="20"/>
          <w:szCs w:val="20"/>
        </w:rPr>
        <w:t>• Le calendrier du transfert doit être dans les heures les plus fraîches, ou, de préférence au début de l'après-midi. C'est pour éviter de soulever trop de la température à l'intérieur des conteneurs.</w:t>
      </w:r>
    </w:p>
    <w:p w:rsidR="00A82A62" w:rsidRPr="00A82A62" w:rsidRDefault="00A82A62" w:rsidP="00A82A62">
      <w:pPr>
        <w:spacing w:after="0" w:line="240" w:lineRule="auto"/>
        <w:rPr>
          <w:sz w:val="20"/>
          <w:szCs w:val="20"/>
        </w:rPr>
      </w:pPr>
      <w:r w:rsidRPr="00A82A62">
        <w:rPr>
          <w:sz w:val="20"/>
          <w:szCs w:val="20"/>
        </w:rPr>
        <w:t>• Dans le cas où vous avez besoin pour déplacer de grands volumes de fruits mis en sac, éviter les empiler trop de paquets, cela pour éviter écrasement excessif du fruit.</w:t>
      </w:r>
    </w:p>
    <w:p w:rsidR="00A82A62" w:rsidRDefault="00A82A62" w:rsidP="00A82A62">
      <w:pPr>
        <w:spacing w:after="0" w:line="240" w:lineRule="auto"/>
        <w:rPr>
          <w:sz w:val="20"/>
          <w:szCs w:val="20"/>
        </w:rPr>
      </w:pPr>
    </w:p>
    <w:p w:rsidR="00A82A62" w:rsidRPr="00A82A62" w:rsidRDefault="00A82A62" w:rsidP="00A82A62">
      <w:pPr>
        <w:spacing w:after="0" w:line="240" w:lineRule="auto"/>
        <w:rPr>
          <w:sz w:val="20"/>
          <w:szCs w:val="20"/>
        </w:rPr>
      </w:pPr>
      <w:proofErr w:type="spellStart"/>
      <w:r w:rsidRPr="00A82A62">
        <w:rPr>
          <w:sz w:val="20"/>
          <w:szCs w:val="20"/>
        </w:rPr>
        <w:t>lV</w:t>
      </w:r>
      <w:proofErr w:type="spellEnd"/>
      <w:r w:rsidRPr="00A82A62">
        <w:rPr>
          <w:sz w:val="20"/>
          <w:szCs w:val="20"/>
        </w:rPr>
        <w:t>. PRESTATION DE FRUITS ET DE GRAINES DE</w:t>
      </w:r>
      <w:r w:rsidR="00F563CE">
        <w:rPr>
          <w:sz w:val="20"/>
          <w:szCs w:val="20"/>
        </w:rPr>
        <w:t xml:space="preserve"> RAMON</w:t>
      </w:r>
    </w:p>
    <w:p w:rsidR="00F563CE" w:rsidRPr="00F563CE" w:rsidRDefault="00A82A62" w:rsidP="00F563CE">
      <w:pPr>
        <w:spacing w:after="0" w:line="240" w:lineRule="auto"/>
        <w:rPr>
          <w:sz w:val="20"/>
          <w:szCs w:val="20"/>
        </w:rPr>
      </w:pPr>
      <w:r w:rsidRPr="00A82A62">
        <w:rPr>
          <w:sz w:val="20"/>
          <w:szCs w:val="20"/>
        </w:rPr>
        <w:t>Une fois sur le site recommandé profit malgré fruits récoltés pour déterminer la relation entre le nombre de fruits récoltés et la quantité de semences obtenue à la fin du processus de fraisage. Cette information est d'une valeur pratique beaucoup à accélérer les collections ultérieures</w:t>
      </w:r>
      <w:r w:rsidR="00F563CE">
        <w:rPr>
          <w:sz w:val="20"/>
          <w:szCs w:val="20"/>
        </w:rPr>
        <w:t xml:space="preserve">, </w:t>
      </w:r>
      <w:r w:rsidR="00F563CE" w:rsidRPr="00F563CE">
        <w:rPr>
          <w:sz w:val="20"/>
          <w:szCs w:val="20"/>
        </w:rPr>
        <w:t>dans le domaine peut estimer combien de kilos de semences et doivent seulement connaître le poids de fruits frais prélevés.</w:t>
      </w:r>
    </w:p>
    <w:p w:rsidR="00F563CE" w:rsidRPr="00F563CE" w:rsidRDefault="00F563CE" w:rsidP="00F563CE">
      <w:pPr>
        <w:spacing w:after="0" w:line="240" w:lineRule="auto"/>
        <w:rPr>
          <w:sz w:val="20"/>
          <w:szCs w:val="20"/>
        </w:rPr>
      </w:pPr>
      <w:r w:rsidRPr="00F563CE">
        <w:rPr>
          <w:sz w:val="20"/>
          <w:szCs w:val="20"/>
        </w:rPr>
        <w:t>Les fruits de Ramon sont classés comme "viande" de telle sorte que la prestation commence avec le trempage dans l'eau pendant 1-2 jours, en changeant l'eau tous les jours pour éviter les odeurs et les insectes. Ce trempage est destiné à fermenter le fruit pour ramollir la coque et le matériau entourant la graine et pour faciliter le nettoyage de celui-ci, par une légère macération.</w:t>
      </w:r>
    </w:p>
    <w:p w:rsidR="00F563CE" w:rsidRPr="00F563CE" w:rsidRDefault="00F563CE" w:rsidP="00F563CE">
      <w:pPr>
        <w:spacing w:after="0" w:line="240" w:lineRule="auto"/>
        <w:rPr>
          <w:sz w:val="20"/>
          <w:szCs w:val="20"/>
        </w:rPr>
      </w:pPr>
      <w:r w:rsidRPr="00F563CE">
        <w:rPr>
          <w:sz w:val="20"/>
          <w:szCs w:val="20"/>
        </w:rPr>
        <w:t xml:space="preserve">Les fruits doivent être </w:t>
      </w:r>
      <w:proofErr w:type="gramStart"/>
      <w:r w:rsidRPr="00F563CE">
        <w:rPr>
          <w:sz w:val="20"/>
          <w:szCs w:val="20"/>
        </w:rPr>
        <w:t>trempées</w:t>
      </w:r>
      <w:proofErr w:type="gramEnd"/>
      <w:r w:rsidRPr="00F563CE">
        <w:rPr>
          <w:sz w:val="20"/>
          <w:szCs w:val="20"/>
        </w:rPr>
        <w:t xml:space="preserve"> dans l'eau au fil du temps, ils acquièrent une coloration foncée. Lorsque les fruits sont </w:t>
      </w:r>
      <w:proofErr w:type="gramStart"/>
      <w:r w:rsidRPr="00F563CE">
        <w:rPr>
          <w:sz w:val="20"/>
          <w:szCs w:val="20"/>
        </w:rPr>
        <w:t>mises</w:t>
      </w:r>
      <w:proofErr w:type="gramEnd"/>
      <w:r w:rsidRPr="00F563CE">
        <w:rPr>
          <w:sz w:val="20"/>
          <w:szCs w:val="20"/>
        </w:rPr>
        <w:t xml:space="preserve"> complètement mous avec le processus de trempe, qui est réalisée par frottement des fruits sur une surface qui permet le détachement du matériau couvrant la semence (peut être un treillis métallique).</w:t>
      </w:r>
    </w:p>
    <w:p w:rsidR="00F563CE" w:rsidRPr="00F563CE" w:rsidRDefault="00F563CE" w:rsidP="00F563CE">
      <w:pPr>
        <w:spacing w:after="0" w:line="240" w:lineRule="auto"/>
        <w:rPr>
          <w:sz w:val="20"/>
          <w:szCs w:val="20"/>
        </w:rPr>
      </w:pPr>
      <w:r w:rsidRPr="00F563CE">
        <w:rPr>
          <w:sz w:val="20"/>
          <w:szCs w:val="20"/>
        </w:rPr>
        <w:t xml:space="preserve">Le moût doit être fait sans appuyer trop de fruits, parce que la coque et le matériel </w:t>
      </w:r>
      <w:proofErr w:type="gramStart"/>
      <w:r w:rsidRPr="00F563CE">
        <w:rPr>
          <w:sz w:val="20"/>
          <w:szCs w:val="20"/>
        </w:rPr>
        <w:t>charnue</w:t>
      </w:r>
      <w:proofErr w:type="gramEnd"/>
      <w:r w:rsidRPr="00F563CE">
        <w:rPr>
          <w:sz w:val="20"/>
          <w:szCs w:val="20"/>
        </w:rPr>
        <w:t xml:space="preserve"> se détachent facilement. Pour faire mariner de cette manière empêche également les dommages aux graines.</w:t>
      </w:r>
    </w:p>
    <w:p w:rsidR="00F563CE" w:rsidRPr="00F563CE" w:rsidRDefault="00F563CE" w:rsidP="00F563CE">
      <w:pPr>
        <w:spacing w:after="0" w:line="240" w:lineRule="auto"/>
        <w:rPr>
          <w:sz w:val="20"/>
          <w:szCs w:val="20"/>
        </w:rPr>
      </w:pPr>
      <w:r w:rsidRPr="00F563CE">
        <w:rPr>
          <w:sz w:val="20"/>
          <w:szCs w:val="20"/>
        </w:rPr>
        <w:t>Après le trempage, les graines sont terminé le rinçage à l'eau claire propre et actuelle. Après rinçage, les graines de conserver leur testa papyracée et ensuite séché.</w:t>
      </w:r>
    </w:p>
    <w:p w:rsidR="00F563CE" w:rsidRPr="00F563CE" w:rsidRDefault="00F563CE" w:rsidP="00F563CE">
      <w:pPr>
        <w:spacing w:after="0" w:line="240" w:lineRule="auto"/>
        <w:rPr>
          <w:sz w:val="20"/>
          <w:szCs w:val="20"/>
        </w:rPr>
      </w:pPr>
      <w:r w:rsidRPr="00F563CE">
        <w:rPr>
          <w:sz w:val="20"/>
          <w:szCs w:val="20"/>
        </w:rPr>
        <w:t xml:space="preserve">Le séchage des graines se fait dans un endroit ombragé et bien aéré. Les graines humides sont </w:t>
      </w:r>
      <w:proofErr w:type="gramStart"/>
      <w:r w:rsidRPr="00F563CE">
        <w:rPr>
          <w:sz w:val="20"/>
          <w:szCs w:val="20"/>
        </w:rPr>
        <w:t>placés</w:t>
      </w:r>
      <w:proofErr w:type="gramEnd"/>
      <w:r w:rsidRPr="00F563CE">
        <w:rPr>
          <w:sz w:val="20"/>
          <w:szCs w:val="20"/>
        </w:rPr>
        <w:t xml:space="preserve"> sur la propagation du journal (Figure 4). Ce séchage doit être effectué pendant 5 ou 6 heures pendant 2 jours.</w:t>
      </w:r>
    </w:p>
    <w:p w:rsidR="00A209A6" w:rsidRDefault="00F563CE" w:rsidP="00F563CE">
      <w:pPr>
        <w:spacing w:after="0" w:line="240" w:lineRule="auto"/>
        <w:rPr>
          <w:sz w:val="20"/>
          <w:szCs w:val="20"/>
        </w:rPr>
      </w:pPr>
      <w:r w:rsidRPr="00F563CE">
        <w:rPr>
          <w:sz w:val="20"/>
          <w:szCs w:val="20"/>
        </w:rPr>
        <w:lastRenderedPageBreak/>
        <w:t>À la fin de ce processus de la prestation, les graines sont prêtes à être plantées ou à être stockés. Si vous avez l'intention de stocker les graines pendant une courte période, nous recommandons le même processus de séchage pendant 2 jours.</w:t>
      </w:r>
    </w:p>
    <w:p w:rsidR="00F563CE" w:rsidRDefault="00F563CE" w:rsidP="00F563CE">
      <w:pPr>
        <w:spacing w:after="0" w:line="240" w:lineRule="auto"/>
        <w:rPr>
          <w:sz w:val="20"/>
          <w:szCs w:val="20"/>
        </w:rPr>
      </w:pPr>
    </w:p>
    <w:p w:rsidR="00F563CE" w:rsidRDefault="00F563CE" w:rsidP="00F563CE">
      <w:pPr>
        <w:spacing w:after="0" w:line="240" w:lineRule="auto"/>
        <w:rPr>
          <w:sz w:val="20"/>
          <w:szCs w:val="20"/>
        </w:rPr>
      </w:pPr>
      <w:r>
        <w:rPr>
          <w:noProof/>
          <w:sz w:val="24"/>
          <w:szCs w:val="24"/>
          <w:lang w:eastAsia="fr-FR"/>
        </w:rPr>
        <w:drawing>
          <wp:inline distT="0" distB="0" distL="0" distR="0">
            <wp:extent cx="5648325" cy="2019300"/>
            <wp:effectExtent l="19050" t="0" r="9525" b="0"/>
            <wp:docPr id="16" name="Image 16"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68"/>
                    <pic:cNvPicPr>
                      <a:picLocks noChangeAspect="1" noChangeArrowheads="1"/>
                    </pic:cNvPicPr>
                  </pic:nvPicPr>
                  <pic:blipFill>
                    <a:blip r:embed="rId11" cstate="print"/>
                    <a:srcRect/>
                    <a:stretch>
                      <a:fillRect/>
                    </a:stretch>
                  </pic:blipFill>
                  <pic:spPr bwMode="auto">
                    <a:xfrm>
                      <a:off x="0" y="0"/>
                      <a:ext cx="5648325" cy="2019300"/>
                    </a:xfrm>
                    <a:prstGeom prst="rect">
                      <a:avLst/>
                    </a:prstGeom>
                    <a:noFill/>
                    <a:ln w="9525">
                      <a:noFill/>
                      <a:miter lim="800000"/>
                      <a:headEnd/>
                      <a:tailEnd/>
                    </a:ln>
                  </pic:spPr>
                </pic:pic>
              </a:graphicData>
            </a:graphic>
          </wp:inline>
        </w:drawing>
      </w:r>
    </w:p>
    <w:p w:rsidR="00F563CE" w:rsidRDefault="00F563CE" w:rsidP="00F563CE">
      <w:pPr>
        <w:spacing w:after="0" w:line="240" w:lineRule="auto"/>
        <w:rPr>
          <w:sz w:val="20"/>
          <w:szCs w:val="20"/>
        </w:rPr>
      </w:pPr>
      <w:r w:rsidRPr="00F563CE">
        <w:rPr>
          <w:sz w:val="20"/>
          <w:szCs w:val="20"/>
        </w:rPr>
        <w:t>Figure 4. Le séchage des graines de Ramon.</w:t>
      </w:r>
    </w:p>
    <w:p w:rsidR="00F563CE" w:rsidRDefault="00F563CE" w:rsidP="00F563CE">
      <w:pPr>
        <w:spacing w:after="0" w:line="240" w:lineRule="auto"/>
        <w:rPr>
          <w:sz w:val="20"/>
          <w:szCs w:val="20"/>
        </w:rPr>
      </w:pPr>
    </w:p>
    <w:p w:rsidR="001C3CDE" w:rsidRPr="001C3CDE" w:rsidRDefault="001C3CDE" w:rsidP="001C3CDE">
      <w:pPr>
        <w:spacing w:after="0" w:line="240" w:lineRule="auto"/>
        <w:rPr>
          <w:sz w:val="20"/>
          <w:szCs w:val="20"/>
        </w:rPr>
      </w:pPr>
      <w:r w:rsidRPr="001C3CDE">
        <w:rPr>
          <w:sz w:val="20"/>
          <w:szCs w:val="20"/>
        </w:rPr>
        <w:t>V. stockage des semences</w:t>
      </w:r>
    </w:p>
    <w:p w:rsidR="001C3CDE" w:rsidRPr="001C3CDE" w:rsidRDefault="001C3CDE" w:rsidP="001C3CDE">
      <w:pPr>
        <w:spacing w:after="0" w:line="240" w:lineRule="auto"/>
        <w:rPr>
          <w:sz w:val="20"/>
          <w:szCs w:val="20"/>
        </w:rPr>
      </w:pPr>
      <w:r w:rsidRPr="001C3CDE">
        <w:rPr>
          <w:sz w:val="20"/>
          <w:szCs w:val="20"/>
        </w:rPr>
        <w:t>Le Ramon produit des graines classé</w:t>
      </w:r>
      <w:r>
        <w:rPr>
          <w:sz w:val="20"/>
          <w:szCs w:val="20"/>
        </w:rPr>
        <w:t>e</w:t>
      </w:r>
      <w:r w:rsidRPr="001C3CDE">
        <w:rPr>
          <w:sz w:val="20"/>
          <w:szCs w:val="20"/>
        </w:rPr>
        <w:t>s comme récalcitrant</w:t>
      </w:r>
      <w:r w:rsidR="00B8089F">
        <w:rPr>
          <w:sz w:val="20"/>
          <w:szCs w:val="20"/>
        </w:rPr>
        <w:t>es [au taux de germination variable]</w:t>
      </w:r>
      <w:r w:rsidRPr="001C3CDE">
        <w:rPr>
          <w:sz w:val="20"/>
          <w:szCs w:val="20"/>
        </w:rPr>
        <w:t xml:space="preserve">, ce qui </w:t>
      </w:r>
      <w:r>
        <w:rPr>
          <w:sz w:val="20"/>
          <w:szCs w:val="20"/>
        </w:rPr>
        <w:t xml:space="preserve">signifie que vous ne pouvez pas </w:t>
      </w:r>
      <w:r w:rsidRPr="001C3CDE">
        <w:rPr>
          <w:sz w:val="20"/>
          <w:szCs w:val="20"/>
        </w:rPr>
        <w:t>stockés pendant de longues périodes de temps, même dans des conditions contrôlées de température.</w:t>
      </w:r>
    </w:p>
    <w:p w:rsidR="001C3CDE" w:rsidRDefault="001C3CDE" w:rsidP="001C3CDE">
      <w:pPr>
        <w:spacing w:after="0" w:line="240" w:lineRule="auto"/>
        <w:rPr>
          <w:sz w:val="20"/>
          <w:szCs w:val="20"/>
        </w:rPr>
      </w:pPr>
    </w:p>
    <w:p w:rsidR="001C3CDE" w:rsidRPr="001C3CDE" w:rsidRDefault="001C3CDE" w:rsidP="001C3CDE">
      <w:pPr>
        <w:spacing w:after="0" w:line="240" w:lineRule="auto"/>
        <w:rPr>
          <w:sz w:val="20"/>
          <w:szCs w:val="20"/>
        </w:rPr>
      </w:pPr>
      <w:r w:rsidRPr="001C3CDE">
        <w:rPr>
          <w:sz w:val="20"/>
          <w:szCs w:val="20"/>
        </w:rPr>
        <w:t>5.1 Entreposage à température ambiante</w:t>
      </w:r>
    </w:p>
    <w:p w:rsidR="001C3CDE" w:rsidRPr="001C3CDE" w:rsidRDefault="001C3CDE" w:rsidP="001C3CDE">
      <w:pPr>
        <w:spacing w:after="0" w:line="240" w:lineRule="auto"/>
        <w:rPr>
          <w:sz w:val="20"/>
          <w:szCs w:val="20"/>
        </w:rPr>
      </w:pPr>
      <w:r w:rsidRPr="001C3CDE">
        <w:rPr>
          <w:sz w:val="20"/>
          <w:szCs w:val="20"/>
        </w:rPr>
        <w:t xml:space="preserve">Pour le stockage temporaire des graines de cette espèce est recommandé de choisir ou de mettre un. Propre, frais, ombragé et aéré Pour emballer les graines peuvent être utilisées sacs qui laissent passer l'air entre les graines pour éviter de soulever la température et accélère le processus de décomposition. Les sacs peuvent être faits de fibre de sisal (Agave </w:t>
      </w:r>
      <w:proofErr w:type="spellStart"/>
      <w:r w:rsidRPr="001C3CDE">
        <w:rPr>
          <w:sz w:val="20"/>
          <w:szCs w:val="20"/>
        </w:rPr>
        <w:t>fourcroydes</w:t>
      </w:r>
      <w:proofErr w:type="spellEnd"/>
      <w:r w:rsidRPr="001C3CDE">
        <w:rPr>
          <w:sz w:val="20"/>
          <w:szCs w:val="20"/>
        </w:rPr>
        <w:t>) car ils sont excellents à cet effet et est facilement réalisable dans la région. Nous ne recommandons pas de semences emballées dans des sacs en plastique, car ils augmentent la température. Il est recommandé l'application d'un fongicide, car il a été observé à être très sensibles aux dommages causés par des champignons.</w:t>
      </w:r>
    </w:p>
    <w:p w:rsidR="001C3CDE" w:rsidRPr="001C3CDE" w:rsidRDefault="001C3CDE" w:rsidP="001C3CDE">
      <w:pPr>
        <w:spacing w:after="0" w:line="240" w:lineRule="auto"/>
        <w:rPr>
          <w:sz w:val="20"/>
          <w:szCs w:val="20"/>
        </w:rPr>
      </w:pPr>
      <w:r w:rsidRPr="001C3CDE">
        <w:rPr>
          <w:sz w:val="20"/>
          <w:szCs w:val="20"/>
        </w:rPr>
        <w:t xml:space="preserve">Dans ces conditions de stockage a été observé que les graines de </w:t>
      </w:r>
      <w:proofErr w:type="spellStart"/>
      <w:r w:rsidRPr="001C3CDE">
        <w:rPr>
          <w:sz w:val="20"/>
          <w:szCs w:val="20"/>
        </w:rPr>
        <w:t>ramon</w:t>
      </w:r>
      <w:proofErr w:type="spellEnd"/>
      <w:r w:rsidRPr="001C3CDE">
        <w:rPr>
          <w:sz w:val="20"/>
          <w:szCs w:val="20"/>
        </w:rPr>
        <w:t xml:space="preserve"> maintenir les taux à 50% de germination pour un maximum de 2 mois (les données générées dans le </w:t>
      </w:r>
      <w:proofErr w:type="spellStart"/>
      <w:r w:rsidRPr="001C3CDE">
        <w:rPr>
          <w:sz w:val="20"/>
          <w:szCs w:val="20"/>
        </w:rPr>
        <w:t>Tecoh</w:t>
      </w:r>
      <w:proofErr w:type="spellEnd"/>
      <w:r w:rsidRPr="001C3CDE">
        <w:rPr>
          <w:sz w:val="20"/>
          <w:szCs w:val="20"/>
        </w:rPr>
        <w:t xml:space="preserve"> banque de gènes de San Jose).</w:t>
      </w:r>
    </w:p>
    <w:p w:rsidR="001C3CDE" w:rsidRDefault="001C3CDE" w:rsidP="001C3CDE">
      <w:pPr>
        <w:spacing w:after="0" w:line="240" w:lineRule="auto"/>
        <w:rPr>
          <w:sz w:val="20"/>
          <w:szCs w:val="20"/>
        </w:rPr>
      </w:pPr>
    </w:p>
    <w:p w:rsidR="001C3CDE" w:rsidRPr="001C3CDE" w:rsidRDefault="001C3CDE" w:rsidP="001C3CDE">
      <w:pPr>
        <w:spacing w:after="0" w:line="240" w:lineRule="auto"/>
        <w:rPr>
          <w:sz w:val="20"/>
          <w:szCs w:val="20"/>
        </w:rPr>
      </w:pPr>
      <w:r w:rsidRPr="001C3CDE">
        <w:rPr>
          <w:sz w:val="20"/>
          <w:szCs w:val="20"/>
        </w:rPr>
        <w:t>5,2. Stockage à température contrôlée</w:t>
      </w:r>
    </w:p>
    <w:p w:rsidR="001C3CDE" w:rsidRPr="001C3CDE" w:rsidRDefault="001C3CDE" w:rsidP="001C3CDE">
      <w:pPr>
        <w:spacing w:after="0" w:line="240" w:lineRule="auto"/>
        <w:rPr>
          <w:sz w:val="20"/>
          <w:szCs w:val="20"/>
        </w:rPr>
      </w:pPr>
      <w:r w:rsidRPr="001C3CDE">
        <w:rPr>
          <w:sz w:val="20"/>
          <w:szCs w:val="20"/>
        </w:rPr>
        <w:t xml:space="preserve">Est rapporté dans </w:t>
      </w:r>
      <w:r w:rsidR="00B8089F">
        <w:rPr>
          <w:sz w:val="20"/>
          <w:szCs w:val="20"/>
        </w:rPr>
        <w:t xml:space="preserve">la littérature, </w:t>
      </w:r>
      <w:proofErr w:type="spellStart"/>
      <w:r w:rsidR="00B8089F">
        <w:rPr>
          <w:sz w:val="20"/>
          <w:szCs w:val="20"/>
        </w:rPr>
        <w:t>que</w:t>
      </w:r>
      <w:r w:rsidRPr="001C3CDE">
        <w:rPr>
          <w:sz w:val="20"/>
          <w:szCs w:val="20"/>
        </w:rPr>
        <w:t>les</w:t>
      </w:r>
      <w:proofErr w:type="spellEnd"/>
      <w:r w:rsidRPr="001C3CDE">
        <w:rPr>
          <w:sz w:val="20"/>
          <w:szCs w:val="20"/>
        </w:rPr>
        <w:t xml:space="preserve"> graines </w:t>
      </w:r>
      <w:proofErr w:type="spellStart"/>
      <w:r w:rsidRPr="001C3CDE">
        <w:rPr>
          <w:sz w:val="20"/>
          <w:szCs w:val="20"/>
        </w:rPr>
        <w:t>ramon</w:t>
      </w:r>
      <w:proofErr w:type="spellEnd"/>
      <w:r w:rsidRPr="001C3CDE">
        <w:rPr>
          <w:sz w:val="20"/>
          <w:szCs w:val="20"/>
        </w:rPr>
        <w:t xml:space="preserve"> peu</w:t>
      </w:r>
      <w:r w:rsidR="00B8089F">
        <w:rPr>
          <w:sz w:val="20"/>
          <w:szCs w:val="20"/>
        </w:rPr>
        <w:t>ven</w:t>
      </w:r>
      <w:r w:rsidRPr="001C3CDE">
        <w:rPr>
          <w:sz w:val="20"/>
          <w:szCs w:val="20"/>
        </w:rPr>
        <w:t>t être stocké</w:t>
      </w:r>
      <w:r w:rsidR="00B8089F">
        <w:rPr>
          <w:sz w:val="20"/>
          <w:szCs w:val="20"/>
        </w:rPr>
        <w:t>es</w:t>
      </w:r>
      <w:r w:rsidRPr="001C3CDE">
        <w:rPr>
          <w:sz w:val="20"/>
          <w:szCs w:val="20"/>
        </w:rPr>
        <w:t xml:space="preserve"> pour un maximum de 3 mois à 5 ° C de température avec la teneur</w:t>
      </w:r>
      <w:r w:rsidR="00B8089F">
        <w:rPr>
          <w:sz w:val="20"/>
          <w:szCs w:val="20"/>
        </w:rPr>
        <w:t>,</w:t>
      </w:r>
      <w:r w:rsidRPr="001C3CDE">
        <w:rPr>
          <w:sz w:val="20"/>
          <w:szCs w:val="20"/>
        </w:rPr>
        <w:t xml:space="preserve"> en humidité de 48 à 50%</w:t>
      </w:r>
      <w:r w:rsidR="00B8089F">
        <w:rPr>
          <w:sz w:val="20"/>
          <w:szCs w:val="20"/>
        </w:rPr>
        <w:t>,</w:t>
      </w:r>
      <w:r w:rsidRPr="001C3CDE">
        <w:rPr>
          <w:sz w:val="20"/>
          <w:szCs w:val="20"/>
        </w:rPr>
        <w:t xml:space="preserve"> en hermétique</w:t>
      </w:r>
      <w:r w:rsidR="00B8089F">
        <w:rPr>
          <w:sz w:val="20"/>
          <w:szCs w:val="20"/>
        </w:rPr>
        <w:t xml:space="preserve"> ( ?)</w:t>
      </w:r>
      <w:r w:rsidRPr="001C3CDE">
        <w:rPr>
          <w:sz w:val="20"/>
          <w:szCs w:val="20"/>
        </w:rPr>
        <w:t>, tout en conservant une viabilité de 50%.</w:t>
      </w:r>
    </w:p>
    <w:bookmarkEnd w:id="0"/>
    <w:p w:rsidR="001C3CDE" w:rsidRPr="006F1D68" w:rsidRDefault="001C3CDE" w:rsidP="001C3CDE">
      <w:pPr>
        <w:spacing w:after="0" w:line="240" w:lineRule="auto"/>
        <w:rPr>
          <w:sz w:val="20"/>
          <w:szCs w:val="20"/>
        </w:rPr>
      </w:pPr>
    </w:p>
    <w:p w:rsidR="001C3CDE" w:rsidRPr="001C3CDE" w:rsidRDefault="001C3CDE" w:rsidP="001C3CDE">
      <w:pPr>
        <w:spacing w:after="0" w:line="240" w:lineRule="auto"/>
        <w:rPr>
          <w:sz w:val="20"/>
          <w:szCs w:val="20"/>
          <w:lang w:val="en-US"/>
        </w:rPr>
      </w:pPr>
      <w:r w:rsidRPr="001C3CDE">
        <w:rPr>
          <w:sz w:val="20"/>
          <w:szCs w:val="20"/>
          <w:lang w:val="en-US"/>
        </w:rPr>
        <w:t xml:space="preserve">VI. TYPES Analyses de lots SEED B. STOCKAGE EN </w:t>
      </w:r>
      <w:proofErr w:type="spellStart"/>
      <w:r w:rsidRPr="001C3CDE">
        <w:rPr>
          <w:sz w:val="20"/>
          <w:szCs w:val="20"/>
          <w:lang w:val="en-US"/>
        </w:rPr>
        <w:t>alicastrum</w:t>
      </w:r>
      <w:proofErr w:type="spellEnd"/>
      <w:r w:rsidRPr="001C3CDE">
        <w:rPr>
          <w:sz w:val="20"/>
          <w:szCs w:val="20"/>
          <w:lang w:val="en-US"/>
        </w:rPr>
        <w:t xml:space="preserve"> GENEBANK "</w:t>
      </w:r>
      <w:proofErr w:type="spellStart"/>
      <w:r w:rsidRPr="001C3CDE">
        <w:rPr>
          <w:sz w:val="20"/>
          <w:szCs w:val="20"/>
          <w:lang w:val="en-US"/>
        </w:rPr>
        <w:t>Tecoh</w:t>
      </w:r>
      <w:proofErr w:type="spellEnd"/>
      <w:r w:rsidRPr="001C3CDE">
        <w:rPr>
          <w:sz w:val="20"/>
          <w:szCs w:val="20"/>
          <w:lang w:val="en-US"/>
        </w:rPr>
        <w:t xml:space="preserve"> SAN JOSE"</w:t>
      </w:r>
    </w:p>
    <w:p w:rsidR="001C3CDE" w:rsidRPr="001C3CDE" w:rsidRDefault="001C3CDE" w:rsidP="001C3CDE">
      <w:pPr>
        <w:spacing w:after="0" w:line="240" w:lineRule="auto"/>
        <w:rPr>
          <w:sz w:val="20"/>
          <w:szCs w:val="20"/>
        </w:rPr>
      </w:pPr>
      <w:r w:rsidRPr="001C3CDE">
        <w:rPr>
          <w:sz w:val="20"/>
          <w:szCs w:val="20"/>
        </w:rPr>
        <w:t xml:space="preserve">Sur la base des lignes directrices pour l'exploitation de banques de gènes des forêts établis par </w:t>
      </w:r>
      <w:proofErr w:type="spellStart"/>
      <w:r w:rsidRPr="001C3CDE">
        <w:rPr>
          <w:sz w:val="20"/>
          <w:szCs w:val="20"/>
        </w:rPr>
        <w:t>Conafor</w:t>
      </w:r>
      <w:proofErr w:type="spellEnd"/>
      <w:r w:rsidRPr="001C3CDE">
        <w:rPr>
          <w:sz w:val="20"/>
          <w:szCs w:val="20"/>
        </w:rPr>
        <w:t xml:space="preserve"> précise que pour déterminer la qualité physique et physiologique des semences forestières, elle sera testée l'analyse physique et physiologique par une méthodologie validée par l'Association internationale pour les essais semences (International Association d'essais de semences, ISTA).</w:t>
      </w:r>
    </w:p>
    <w:p w:rsidR="00F563CE" w:rsidRDefault="001C3CDE" w:rsidP="001C3CDE">
      <w:pPr>
        <w:spacing w:after="0" w:line="240" w:lineRule="auto"/>
        <w:rPr>
          <w:sz w:val="20"/>
          <w:szCs w:val="20"/>
        </w:rPr>
      </w:pPr>
      <w:r w:rsidRPr="001C3CDE">
        <w:rPr>
          <w:sz w:val="20"/>
          <w:szCs w:val="20"/>
        </w:rPr>
        <w:t>ISTA établit ainsi que l'analyse sera menée sur un échantillon représentatif du lot de semences doit être évalué.</w:t>
      </w:r>
    </w:p>
    <w:p w:rsidR="001C3CDE" w:rsidRDefault="001C3CDE" w:rsidP="001C3CDE">
      <w:pPr>
        <w:spacing w:after="0" w:line="240" w:lineRule="auto"/>
        <w:rPr>
          <w:sz w:val="20"/>
          <w:szCs w:val="20"/>
        </w:rPr>
      </w:pPr>
    </w:p>
    <w:p w:rsidR="001C3CDE" w:rsidRPr="001C3CDE" w:rsidRDefault="001C3CDE" w:rsidP="001C3CDE">
      <w:pPr>
        <w:spacing w:after="0" w:line="240" w:lineRule="auto"/>
        <w:rPr>
          <w:sz w:val="20"/>
          <w:szCs w:val="20"/>
        </w:rPr>
      </w:pPr>
      <w:r w:rsidRPr="001C3CDE">
        <w:rPr>
          <w:sz w:val="20"/>
          <w:szCs w:val="20"/>
        </w:rPr>
        <w:t>V. stockage des semences</w:t>
      </w:r>
    </w:p>
    <w:p w:rsidR="001C3CDE" w:rsidRPr="001C3CDE" w:rsidRDefault="001C3CDE" w:rsidP="001C3CDE">
      <w:pPr>
        <w:spacing w:after="0" w:line="240" w:lineRule="auto"/>
        <w:rPr>
          <w:sz w:val="20"/>
          <w:szCs w:val="20"/>
        </w:rPr>
      </w:pPr>
      <w:r w:rsidRPr="001C3CDE">
        <w:rPr>
          <w:sz w:val="20"/>
          <w:szCs w:val="20"/>
        </w:rPr>
        <w:t>Le Ramon produit des graines classé</w:t>
      </w:r>
      <w:r w:rsidR="00174FBD">
        <w:rPr>
          <w:sz w:val="20"/>
          <w:szCs w:val="20"/>
        </w:rPr>
        <w:t>e</w:t>
      </w:r>
      <w:r w:rsidRPr="001C3CDE">
        <w:rPr>
          <w:sz w:val="20"/>
          <w:szCs w:val="20"/>
        </w:rPr>
        <w:t>s comme récalcitrant</w:t>
      </w:r>
      <w:r w:rsidR="00174FBD">
        <w:rPr>
          <w:sz w:val="20"/>
          <w:szCs w:val="20"/>
        </w:rPr>
        <w:t>es</w:t>
      </w:r>
      <w:r w:rsidRPr="001C3CDE">
        <w:rPr>
          <w:sz w:val="20"/>
          <w:szCs w:val="20"/>
        </w:rPr>
        <w:t xml:space="preserve">, ce qui signifie que vous </w:t>
      </w:r>
      <w:r w:rsidR="00205C04">
        <w:rPr>
          <w:sz w:val="20"/>
          <w:szCs w:val="20"/>
        </w:rPr>
        <w:t>ne pouvez pas les stocker</w:t>
      </w:r>
      <w:r w:rsidRPr="001C3CDE">
        <w:rPr>
          <w:sz w:val="20"/>
          <w:szCs w:val="20"/>
        </w:rPr>
        <w:t xml:space="preserve"> pendant de longues périodes de temps, même dans des conditions contrôlées de température.</w:t>
      </w:r>
    </w:p>
    <w:p w:rsidR="001C3CDE" w:rsidRDefault="001C3CDE" w:rsidP="001C3CDE">
      <w:pPr>
        <w:spacing w:after="0" w:line="240" w:lineRule="auto"/>
        <w:rPr>
          <w:sz w:val="20"/>
          <w:szCs w:val="20"/>
        </w:rPr>
      </w:pPr>
    </w:p>
    <w:p w:rsidR="001C3CDE" w:rsidRPr="001C3CDE" w:rsidRDefault="001C3CDE" w:rsidP="001C3CDE">
      <w:pPr>
        <w:spacing w:after="0" w:line="240" w:lineRule="auto"/>
        <w:rPr>
          <w:sz w:val="20"/>
          <w:szCs w:val="20"/>
        </w:rPr>
      </w:pPr>
      <w:r w:rsidRPr="001C3CDE">
        <w:rPr>
          <w:sz w:val="20"/>
          <w:szCs w:val="20"/>
        </w:rPr>
        <w:t>5.1 Entreposage à température ambiante</w:t>
      </w:r>
    </w:p>
    <w:p w:rsidR="001C3CDE" w:rsidRPr="001C3CDE" w:rsidRDefault="001C3CDE" w:rsidP="001C3CDE">
      <w:pPr>
        <w:spacing w:after="0" w:line="240" w:lineRule="auto"/>
        <w:rPr>
          <w:sz w:val="20"/>
          <w:szCs w:val="20"/>
        </w:rPr>
      </w:pPr>
      <w:r w:rsidRPr="001C3CDE">
        <w:rPr>
          <w:sz w:val="20"/>
          <w:szCs w:val="20"/>
        </w:rPr>
        <w:t>Pour le stockage temporaire des graines de cette espèce est recommandé de choisir ou de mettre un. Propre, frais, ombragé et aéré Pour emballer les graines peuvent être utilisées sacs qui laissent passer l'air entre les graines pour éviter de soulever la température et accélère le processus de décomposition. Les sacs peuvent être faits de fibre de sisal (</w:t>
      </w:r>
      <w:r w:rsidR="00174FBD" w:rsidRPr="00174FBD">
        <w:rPr>
          <w:rFonts w:ascii="Calibri" w:hAnsi="Calibri" w:cs="Calibri"/>
          <w:i/>
          <w:iCs/>
          <w:sz w:val="20"/>
          <w:szCs w:val="20"/>
        </w:rPr>
        <w:t xml:space="preserve">Agave </w:t>
      </w:r>
      <w:proofErr w:type="spellStart"/>
      <w:r w:rsidR="00174FBD" w:rsidRPr="00174FBD">
        <w:rPr>
          <w:rFonts w:ascii="Calibri" w:hAnsi="Calibri" w:cs="Calibri"/>
          <w:i/>
          <w:iCs/>
          <w:sz w:val="20"/>
          <w:szCs w:val="20"/>
        </w:rPr>
        <w:t>fourcroydes</w:t>
      </w:r>
      <w:proofErr w:type="spellEnd"/>
      <w:r w:rsidRPr="001C3CDE">
        <w:rPr>
          <w:sz w:val="20"/>
          <w:szCs w:val="20"/>
        </w:rPr>
        <w:t>) car ils sont excellents à cet effet et est facilement réalisable dans la région. Nous ne recommandons pas de semences emballées dans des sacs en plastique, car ils augmentent la température. Il est recommandé l'application d'un fongicide, car il a été observé à être très sensibles aux dommages causés par des champignons.</w:t>
      </w:r>
    </w:p>
    <w:p w:rsidR="001C3CDE" w:rsidRPr="001C3CDE" w:rsidRDefault="001C3CDE" w:rsidP="001C3CDE">
      <w:pPr>
        <w:spacing w:after="0" w:line="240" w:lineRule="auto"/>
        <w:rPr>
          <w:sz w:val="20"/>
          <w:szCs w:val="20"/>
        </w:rPr>
      </w:pPr>
      <w:r w:rsidRPr="001C3CDE">
        <w:rPr>
          <w:sz w:val="20"/>
          <w:szCs w:val="20"/>
        </w:rPr>
        <w:t xml:space="preserve">Dans ces conditions de stockage a été observé que les graines de </w:t>
      </w:r>
      <w:proofErr w:type="spellStart"/>
      <w:r w:rsidRPr="001C3CDE">
        <w:rPr>
          <w:sz w:val="20"/>
          <w:szCs w:val="20"/>
        </w:rPr>
        <w:t>ramon</w:t>
      </w:r>
      <w:proofErr w:type="spellEnd"/>
      <w:r w:rsidRPr="001C3CDE">
        <w:rPr>
          <w:sz w:val="20"/>
          <w:szCs w:val="20"/>
        </w:rPr>
        <w:t xml:space="preserve"> maintenir les taux à 50% de germination pour un maximum de 2 mois (les données générées dans le </w:t>
      </w:r>
      <w:proofErr w:type="spellStart"/>
      <w:r w:rsidRPr="001C3CDE">
        <w:rPr>
          <w:sz w:val="20"/>
          <w:szCs w:val="20"/>
        </w:rPr>
        <w:t>Tecoh</w:t>
      </w:r>
      <w:proofErr w:type="spellEnd"/>
      <w:r w:rsidRPr="001C3CDE">
        <w:rPr>
          <w:sz w:val="20"/>
          <w:szCs w:val="20"/>
        </w:rPr>
        <w:t xml:space="preserve"> banque de gènes de San Jose).</w:t>
      </w:r>
    </w:p>
    <w:p w:rsidR="001C3CDE" w:rsidRDefault="001C3CDE" w:rsidP="001C3CDE">
      <w:pPr>
        <w:spacing w:after="0" w:line="240" w:lineRule="auto"/>
        <w:rPr>
          <w:sz w:val="20"/>
          <w:szCs w:val="20"/>
        </w:rPr>
      </w:pPr>
    </w:p>
    <w:p w:rsidR="001C3CDE" w:rsidRPr="001C3CDE" w:rsidRDefault="001C3CDE" w:rsidP="001C3CDE">
      <w:pPr>
        <w:spacing w:after="0" w:line="240" w:lineRule="auto"/>
        <w:rPr>
          <w:sz w:val="20"/>
          <w:szCs w:val="20"/>
        </w:rPr>
      </w:pPr>
      <w:r>
        <w:rPr>
          <w:sz w:val="20"/>
          <w:szCs w:val="20"/>
        </w:rPr>
        <w:t>5.</w:t>
      </w:r>
      <w:r w:rsidRPr="001C3CDE">
        <w:rPr>
          <w:sz w:val="20"/>
          <w:szCs w:val="20"/>
        </w:rPr>
        <w:t>2. Stockage à température contrôlée</w:t>
      </w:r>
    </w:p>
    <w:p w:rsidR="001C3CDE" w:rsidRPr="001C3CDE" w:rsidRDefault="001C3CDE" w:rsidP="001C3CDE">
      <w:pPr>
        <w:spacing w:after="0" w:line="240" w:lineRule="auto"/>
        <w:rPr>
          <w:sz w:val="20"/>
          <w:szCs w:val="20"/>
        </w:rPr>
      </w:pPr>
      <w:r w:rsidRPr="001C3CDE">
        <w:rPr>
          <w:sz w:val="20"/>
          <w:szCs w:val="20"/>
        </w:rPr>
        <w:t xml:space="preserve">Est rapporté dans les graines </w:t>
      </w:r>
      <w:proofErr w:type="spellStart"/>
      <w:r w:rsidRPr="001C3CDE">
        <w:rPr>
          <w:sz w:val="20"/>
          <w:szCs w:val="20"/>
        </w:rPr>
        <w:t>ramon</w:t>
      </w:r>
      <w:proofErr w:type="spellEnd"/>
      <w:r w:rsidRPr="001C3CDE">
        <w:rPr>
          <w:sz w:val="20"/>
          <w:szCs w:val="20"/>
        </w:rPr>
        <w:t xml:space="preserve"> littérature peut être stocké pour un maximum de 3 mois à 5 ° C de la température avec la teneur en humidité de 48 à 50% en hermétique, tout en conservant une viabilité de 50%.</w:t>
      </w:r>
    </w:p>
    <w:p w:rsidR="001C3CDE" w:rsidRPr="001C3CDE" w:rsidRDefault="001C3CDE" w:rsidP="001C3CDE">
      <w:pPr>
        <w:spacing w:after="0" w:line="240" w:lineRule="auto"/>
        <w:rPr>
          <w:sz w:val="20"/>
          <w:szCs w:val="20"/>
        </w:rPr>
      </w:pPr>
    </w:p>
    <w:p w:rsidR="001C3CDE" w:rsidRPr="001C3CDE" w:rsidRDefault="001C3CDE" w:rsidP="001C3CDE">
      <w:pPr>
        <w:spacing w:after="0" w:line="240" w:lineRule="auto"/>
        <w:rPr>
          <w:sz w:val="20"/>
          <w:szCs w:val="20"/>
        </w:rPr>
      </w:pPr>
    </w:p>
    <w:p w:rsidR="001C3CDE" w:rsidRPr="001C3CDE" w:rsidRDefault="001C3CDE" w:rsidP="001C3CDE">
      <w:pPr>
        <w:spacing w:after="0" w:line="240" w:lineRule="auto"/>
        <w:rPr>
          <w:sz w:val="20"/>
          <w:szCs w:val="20"/>
        </w:rPr>
      </w:pPr>
      <w:r w:rsidRPr="001C3CDE">
        <w:rPr>
          <w:sz w:val="20"/>
          <w:szCs w:val="20"/>
        </w:rPr>
        <w:t xml:space="preserve">VI. Types d'analyse fait pour les lots de semences de B. </w:t>
      </w:r>
      <w:proofErr w:type="spellStart"/>
      <w:r w:rsidRPr="001C3CDE">
        <w:rPr>
          <w:sz w:val="20"/>
          <w:szCs w:val="20"/>
        </w:rPr>
        <w:t>alicastrum</w:t>
      </w:r>
      <w:proofErr w:type="spellEnd"/>
      <w:r w:rsidRPr="001C3CDE">
        <w:rPr>
          <w:sz w:val="20"/>
          <w:szCs w:val="20"/>
        </w:rPr>
        <w:t xml:space="preserve"> stockées dans la banque de gènes "</w:t>
      </w:r>
      <w:proofErr w:type="spellStart"/>
      <w:r w:rsidRPr="001C3CDE">
        <w:rPr>
          <w:sz w:val="20"/>
          <w:szCs w:val="20"/>
        </w:rPr>
        <w:t>Tecoh</w:t>
      </w:r>
      <w:proofErr w:type="spellEnd"/>
      <w:r w:rsidRPr="001C3CDE">
        <w:rPr>
          <w:sz w:val="20"/>
          <w:szCs w:val="20"/>
        </w:rPr>
        <w:t xml:space="preserve"> San Jose"</w:t>
      </w:r>
    </w:p>
    <w:p w:rsidR="001C3CDE" w:rsidRPr="001C3CDE" w:rsidRDefault="001C3CDE" w:rsidP="001C3CDE">
      <w:pPr>
        <w:spacing w:after="0" w:line="240" w:lineRule="auto"/>
        <w:rPr>
          <w:sz w:val="20"/>
          <w:szCs w:val="20"/>
        </w:rPr>
      </w:pPr>
      <w:r w:rsidRPr="001C3CDE">
        <w:rPr>
          <w:sz w:val="20"/>
          <w:szCs w:val="20"/>
        </w:rPr>
        <w:lastRenderedPageBreak/>
        <w:t xml:space="preserve">Sur la base des lignes directrices pour l'exploitation de banques de gènes des forêts établis par </w:t>
      </w:r>
      <w:proofErr w:type="spellStart"/>
      <w:r w:rsidRPr="001C3CDE">
        <w:rPr>
          <w:sz w:val="20"/>
          <w:szCs w:val="20"/>
        </w:rPr>
        <w:t>Conafor</w:t>
      </w:r>
      <w:proofErr w:type="spellEnd"/>
      <w:r w:rsidRPr="001C3CDE">
        <w:rPr>
          <w:sz w:val="20"/>
          <w:szCs w:val="20"/>
        </w:rPr>
        <w:t xml:space="preserve"> précise que pour déterminer la qualité physique et physiologique des semences forestières, elle sera testée l'analyse physique et physiologique par une méthodologie validée par l'Association internationale pour les essais semences (International Association d'essais de semences, ISTA).</w:t>
      </w:r>
    </w:p>
    <w:p w:rsidR="001C3CDE" w:rsidRDefault="001C3CDE" w:rsidP="001C3CDE">
      <w:pPr>
        <w:spacing w:after="0" w:line="240" w:lineRule="auto"/>
        <w:rPr>
          <w:sz w:val="20"/>
          <w:szCs w:val="20"/>
        </w:rPr>
      </w:pPr>
      <w:r w:rsidRPr="001C3CDE">
        <w:rPr>
          <w:sz w:val="20"/>
          <w:szCs w:val="20"/>
        </w:rPr>
        <w:t>ISTA établit ainsi que l'analyse sera menée sur un échantillon représentatif du lot de semences doit être évalué.</w:t>
      </w:r>
    </w:p>
    <w:p w:rsidR="001C3CDE" w:rsidRDefault="001C3CDE" w:rsidP="001C3CDE">
      <w:pPr>
        <w:spacing w:after="0" w:line="240" w:lineRule="auto"/>
        <w:rPr>
          <w:sz w:val="20"/>
          <w:szCs w:val="20"/>
        </w:rPr>
      </w:pPr>
    </w:p>
    <w:p w:rsidR="00E7066B" w:rsidRPr="00E7066B" w:rsidRDefault="00E7066B" w:rsidP="00E7066B">
      <w:pPr>
        <w:spacing w:after="0" w:line="240" w:lineRule="auto"/>
        <w:rPr>
          <w:sz w:val="20"/>
          <w:szCs w:val="20"/>
        </w:rPr>
      </w:pPr>
      <w:r w:rsidRPr="00E7066B">
        <w:rPr>
          <w:sz w:val="20"/>
          <w:szCs w:val="20"/>
        </w:rPr>
        <w:t xml:space="preserve">Pour le cas de la B. espèces </w:t>
      </w:r>
      <w:proofErr w:type="spellStart"/>
      <w:r w:rsidRPr="00E7066B">
        <w:rPr>
          <w:sz w:val="20"/>
          <w:szCs w:val="20"/>
        </w:rPr>
        <w:t>alicastrum</w:t>
      </w:r>
      <w:proofErr w:type="spellEnd"/>
      <w:r w:rsidRPr="00E7066B">
        <w:rPr>
          <w:sz w:val="20"/>
          <w:szCs w:val="20"/>
        </w:rPr>
        <w:t xml:space="preserve"> </w:t>
      </w:r>
      <w:proofErr w:type="spellStart"/>
      <w:r w:rsidRPr="00E7066B">
        <w:rPr>
          <w:sz w:val="20"/>
          <w:szCs w:val="20"/>
        </w:rPr>
        <w:t>swartz</w:t>
      </w:r>
      <w:proofErr w:type="spellEnd"/>
      <w:r w:rsidRPr="00E7066B">
        <w:rPr>
          <w:sz w:val="20"/>
          <w:szCs w:val="20"/>
        </w:rPr>
        <w:t xml:space="preserve"> l'échantillon d'essai est obtenu à partir d'un "échantillon primaire" à partir de laquelle on obtient un «échantillon composite» et obtient enfin «travailler échantillon".</w:t>
      </w:r>
    </w:p>
    <w:p w:rsidR="00E7066B" w:rsidRPr="00E7066B" w:rsidRDefault="00E7066B" w:rsidP="00E7066B">
      <w:pPr>
        <w:spacing w:after="0" w:line="240" w:lineRule="auto"/>
        <w:rPr>
          <w:sz w:val="20"/>
          <w:szCs w:val="20"/>
        </w:rPr>
      </w:pPr>
      <w:r w:rsidRPr="00E7066B">
        <w:rPr>
          <w:sz w:val="20"/>
          <w:szCs w:val="20"/>
        </w:rPr>
        <w:t>Cette procédure est précisée en détail ci-dessous: 6.1Anâlisis physique</w:t>
      </w:r>
    </w:p>
    <w:p w:rsidR="00E7066B" w:rsidRDefault="00E7066B" w:rsidP="00E7066B">
      <w:pPr>
        <w:spacing w:after="0" w:line="240" w:lineRule="auto"/>
        <w:rPr>
          <w:sz w:val="20"/>
          <w:szCs w:val="20"/>
        </w:rPr>
      </w:pPr>
    </w:p>
    <w:p w:rsidR="00E7066B" w:rsidRPr="00E7066B" w:rsidRDefault="00E7066B" w:rsidP="00E7066B">
      <w:pPr>
        <w:spacing w:after="0" w:line="240" w:lineRule="auto"/>
        <w:rPr>
          <w:sz w:val="20"/>
          <w:szCs w:val="20"/>
        </w:rPr>
      </w:pPr>
      <w:r w:rsidRPr="00E7066B">
        <w:rPr>
          <w:sz w:val="20"/>
          <w:szCs w:val="20"/>
        </w:rPr>
        <w:t>6.1.1 Intégration de l'échantillon de travail</w:t>
      </w:r>
    </w:p>
    <w:p w:rsidR="00E7066B" w:rsidRPr="00E7066B" w:rsidRDefault="00E7066B" w:rsidP="00E7066B">
      <w:pPr>
        <w:spacing w:after="0" w:line="240" w:lineRule="auto"/>
        <w:rPr>
          <w:sz w:val="20"/>
          <w:szCs w:val="20"/>
        </w:rPr>
      </w:pPr>
      <w:r w:rsidRPr="00E7066B">
        <w:rPr>
          <w:sz w:val="20"/>
          <w:szCs w:val="20"/>
        </w:rPr>
        <w:t xml:space="preserve">L'échantillon primaire. Cet échantillon est obtenu à partir du haut, milieu, bas et les côtés des contenants ou des sacs </w:t>
      </w:r>
      <w:proofErr w:type="gramStart"/>
      <w:r w:rsidRPr="00E7066B">
        <w:rPr>
          <w:sz w:val="20"/>
          <w:szCs w:val="20"/>
        </w:rPr>
        <w:t>jute</w:t>
      </w:r>
      <w:proofErr w:type="gramEnd"/>
      <w:r w:rsidRPr="00E7066B">
        <w:rPr>
          <w:sz w:val="20"/>
          <w:szCs w:val="20"/>
        </w:rPr>
        <w:t>, le raphia, etc.) Les graines de Ramon sont classé</w:t>
      </w:r>
      <w:r>
        <w:rPr>
          <w:sz w:val="20"/>
          <w:szCs w:val="20"/>
        </w:rPr>
        <w:t>e</w:t>
      </w:r>
      <w:r w:rsidRPr="00E7066B">
        <w:rPr>
          <w:sz w:val="20"/>
          <w:szCs w:val="20"/>
        </w:rPr>
        <w:t>s comme «grand» Ainsi, l'échantillon sera jusqu'à 1.500 g lorsque le lot à analyser est supérieure à 5 kg et jusqu'à 600 g lorsque le lot est inférieur à 5 kg.</w:t>
      </w:r>
    </w:p>
    <w:p w:rsidR="00E7066B" w:rsidRPr="00E7066B" w:rsidRDefault="00E7066B" w:rsidP="00E7066B">
      <w:pPr>
        <w:spacing w:after="0" w:line="240" w:lineRule="auto"/>
        <w:rPr>
          <w:sz w:val="20"/>
          <w:szCs w:val="20"/>
        </w:rPr>
      </w:pPr>
      <w:r w:rsidRPr="00E7066B">
        <w:rPr>
          <w:sz w:val="20"/>
          <w:szCs w:val="20"/>
        </w:rPr>
        <w:t>Échantillon composite. L'éc</w:t>
      </w:r>
      <w:r>
        <w:rPr>
          <w:sz w:val="20"/>
          <w:szCs w:val="20"/>
        </w:rPr>
        <w:t>hantillon composite est intégré</w:t>
      </w:r>
      <w:r w:rsidRPr="00E7066B">
        <w:rPr>
          <w:sz w:val="20"/>
          <w:szCs w:val="20"/>
        </w:rPr>
        <w:t xml:space="preserve"> dans le mélange de tous les échantillons (un ou plusieurs conteneurs) et est où est l'échantillon de travail. Par exemple, si vous recevez un lot de 100 kg de semences et est emballé dans des contenants de 5 kg 20 c / u, 5 échantillons primaires ont été prises à partir de 2400 grammes de graines dans chaque sac donc mon échantillon composite est de 12 kg</w:t>
      </w:r>
    </w:p>
    <w:p w:rsidR="00E7066B" w:rsidRPr="00E7066B" w:rsidRDefault="00E7066B" w:rsidP="00E7066B">
      <w:pPr>
        <w:spacing w:after="0" w:line="240" w:lineRule="auto"/>
        <w:rPr>
          <w:sz w:val="20"/>
          <w:szCs w:val="20"/>
        </w:rPr>
      </w:pPr>
      <w:r w:rsidRPr="00E7066B">
        <w:rPr>
          <w:sz w:val="20"/>
          <w:szCs w:val="20"/>
        </w:rPr>
        <w:t>Les travaux de l'échantillon. De l'échantillon composite est l'échantillon de travail qui est un échantillon homogène d'un maximum de 1440 g et est représentatif de l'ensemble du lot à analyser.</w:t>
      </w:r>
    </w:p>
    <w:p w:rsidR="00E7066B" w:rsidRPr="00E7066B" w:rsidRDefault="00E7066B" w:rsidP="00E7066B">
      <w:pPr>
        <w:spacing w:after="0" w:line="240" w:lineRule="auto"/>
        <w:rPr>
          <w:sz w:val="20"/>
          <w:szCs w:val="20"/>
        </w:rPr>
      </w:pPr>
      <w:r w:rsidRPr="00E7066B">
        <w:rPr>
          <w:sz w:val="20"/>
          <w:szCs w:val="20"/>
        </w:rPr>
        <w:t>Une fois l'échantillon de travail que vous effectuez les tests suivants:</w:t>
      </w:r>
    </w:p>
    <w:p w:rsidR="00E7066B" w:rsidRPr="00E7066B" w:rsidRDefault="00E7066B" w:rsidP="00E7066B">
      <w:pPr>
        <w:spacing w:after="0" w:line="240" w:lineRule="auto"/>
        <w:rPr>
          <w:sz w:val="20"/>
          <w:szCs w:val="20"/>
        </w:rPr>
      </w:pPr>
      <w:r w:rsidRPr="00E7066B">
        <w:rPr>
          <w:sz w:val="20"/>
          <w:szCs w:val="20"/>
        </w:rPr>
        <w:t>• Pourcentage de la pureté</w:t>
      </w:r>
    </w:p>
    <w:p w:rsidR="00E7066B" w:rsidRPr="00E7066B" w:rsidRDefault="00E7066B" w:rsidP="00E7066B">
      <w:pPr>
        <w:spacing w:after="0" w:line="240" w:lineRule="auto"/>
        <w:rPr>
          <w:sz w:val="20"/>
          <w:szCs w:val="20"/>
        </w:rPr>
      </w:pPr>
      <w:r w:rsidRPr="00E7066B">
        <w:rPr>
          <w:sz w:val="20"/>
          <w:szCs w:val="20"/>
        </w:rPr>
        <w:t>• Nombre de graines par kilogramme</w:t>
      </w:r>
    </w:p>
    <w:p w:rsidR="00E7066B" w:rsidRPr="00E7066B" w:rsidRDefault="00E7066B" w:rsidP="00E7066B">
      <w:pPr>
        <w:spacing w:after="0" w:line="240" w:lineRule="auto"/>
        <w:rPr>
          <w:sz w:val="20"/>
          <w:szCs w:val="20"/>
        </w:rPr>
      </w:pPr>
      <w:r w:rsidRPr="00E7066B">
        <w:rPr>
          <w:sz w:val="20"/>
          <w:szCs w:val="20"/>
        </w:rPr>
        <w:t>• Teneur en eau.</w:t>
      </w:r>
    </w:p>
    <w:p w:rsidR="00E7066B" w:rsidRPr="00E7066B" w:rsidRDefault="00E7066B" w:rsidP="00E7066B">
      <w:pPr>
        <w:spacing w:after="0" w:line="240" w:lineRule="auto"/>
        <w:rPr>
          <w:sz w:val="20"/>
          <w:szCs w:val="20"/>
        </w:rPr>
      </w:pPr>
      <w:r w:rsidRPr="00E7066B">
        <w:rPr>
          <w:sz w:val="20"/>
          <w:szCs w:val="20"/>
        </w:rPr>
        <w:t>Grâce à ces analyses est de déterminer le niveau de nettoyage est livré le lot de semences et le nombre de graines contenues dans un lot livré kg. Son importance est que beaucoup de graines avec un matériau inerte est de bien moindre qualité et dans le cas d'un achat auprès d'un fournisseur peut être rejetée parce qu'elle ne contient pas le nombre prévu de graines dans un kg de semences.</w:t>
      </w:r>
    </w:p>
    <w:p w:rsidR="00205C04" w:rsidRDefault="00E7066B" w:rsidP="00E7066B">
      <w:pPr>
        <w:spacing w:after="0" w:line="240" w:lineRule="auto"/>
        <w:rPr>
          <w:sz w:val="20"/>
          <w:szCs w:val="20"/>
        </w:rPr>
      </w:pPr>
      <w:r w:rsidRPr="00E7066B">
        <w:rPr>
          <w:sz w:val="20"/>
          <w:szCs w:val="20"/>
        </w:rPr>
        <w:t>Voici les étapes pour effectuer l'analyse de la pureté et le nombre de graines par kilogramme. Les résultats sont exprimés sous la forme de «preuves physiques».</w:t>
      </w:r>
    </w:p>
    <w:p w:rsidR="00E7066B" w:rsidRDefault="00E7066B" w:rsidP="00E7066B">
      <w:pPr>
        <w:spacing w:after="0" w:line="240" w:lineRule="auto"/>
        <w:rPr>
          <w:sz w:val="20"/>
          <w:szCs w:val="20"/>
        </w:rPr>
      </w:pPr>
    </w:p>
    <w:p w:rsidR="00676348" w:rsidRPr="00676348" w:rsidRDefault="00676348" w:rsidP="00676348">
      <w:pPr>
        <w:spacing w:after="0" w:line="240" w:lineRule="auto"/>
        <w:rPr>
          <w:sz w:val="20"/>
          <w:szCs w:val="20"/>
        </w:rPr>
      </w:pPr>
      <w:r w:rsidRPr="00676348">
        <w:rPr>
          <w:sz w:val="20"/>
          <w:szCs w:val="20"/>
        </w:rPr>
        <w:t>70 g, la deuxième semaine 2,6 gr, 3,5 gr troisième, quatrième et dernier avec 2,8 grammes, cela se traduit par une perte rapide de la viabilité à la température ambiante est observée à être réfrigérés le maintien d'un poids constant et à l'humidité, mais réponse se passe comme si la germination à la température ambiante.</w:t>
      </w:r>
    </w:p>
    <w:p w:rsidR="00676348" w:rsidRPr="00676348" w:rsidRDefault="00676348" w:rsidP="00676348">
      <w:pPr>
        <w:spacing w:after="0" w:line="240" w:lineRule="auto"/>
        <w:rPr>
          <w:sz w:val="20"/>
          <w:szCs w:val="20"/>
        </w:rPr>
      </w:pPr>
      <w:r w:rsidRPr="00676348">
        <w:rPr>
          <w:sz w:val="20"/>
          <w:szCs w:val="20"/>
        </w:rPr>
        <w:t>En conclusion, il ne doit être stocké pendant une période d'un mois dans des conditions réfrigérées.</w:t>
      </w:r>
    </w:p>
    <w:p w:rsidR="00676348" w:rsidRDefault="00676348" w:rsidP="00676348">
      <w:pPr>
        <w:spacing w:after="0" w:line="240" w:lineRule="auto"/>
        <w:rPr>
          <w:sz w:val="20"/>
          <w:szCs w:val="20"/>
        </w:rPr>
      </w:pPr>
      <w:r w:rsidRPr="00676348">
        <w:rPr>
          <w:sz w:val="20"/>
          <w:szCs w:val="20"/>
        </w:rPr>
        <w:t> </w:t>
      </w:r>
    </w:p>
    <w:p w:rsidR="00676348" w:rsidRPr="00676348" w:rsidRDefault="00676348" w:rsidP="00676348">
      <w:pPr>
        <w:spacing w:after="0" w:line="240" w:lineRule="auto"/>
        <w:rPr>
          <w:sz w:val="20"/>
          <w:szCs w:val="20"/>
        </w:rPr>
      </w:pPr>
      <w:r>
        <w:rPr>
          <w:noProof/>
          <w:sz w:val="24"/>
          <w:szCs w:val="24"/>
          <w:lang w:eastAsia="fr-FR"/>
        </w:rPr>
        <w:drawing>
          <wp:inline distT="0" distB="0" distL="0" distR="0">
            <wp:extent cx="2438400" cy="1876425"/>
            <wp:effectExtent l="19050" t="0" r="0" b="0"/>
            <wp:docPr id="19" name="Image 19"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84"/>
                    <pic:cNvPicPr>
                      <a:picLocks noChangeAspect="1" noChangeArrowheads="1"/>
                    </pic:cNvPicPr>
                  </pic:nvPicPr>
                  <pic:blipFill>
                    <a:blip r:embed="rId12" cstate="print"/>
                    <a:srcRect/>
                    <a:stretch>
                      <a:fillRect/>
                    </a:stretch>
                  </pic:blipFill>
                  <pic:spPr bwMode="auto">
                    <a:xfrm>
                      <a:off x="0" y="0"/>
                      <a:ext cx="2438400" cy="1876425"/>
                    </a:xfrm>
                    <a:prstGeom prst="rect">
                      <a:avLst/>
                    </a:prstGeom>
                    <a:noFill/>
                    <a:ln w="9525">
                      <a:noFill/>
                      <a:miter lim="800000"/>
                      <a:headEnd/>
                      <a:tailEnd/>
                    </a:ln>
                  </pic:spPr>
                </pic:pic>
              </a:graphicData>
            </a:graphic>
          </wp:inline>
        </w:drawing>
      </w:r>
    </w:p>
    <w:p w:rsidR="00676348" w:rsidRDefault="00676348" w:rsidP="00676348">
      <w:pPr>
        <w:spacing w:after="0" w:line="240" w:lineRule="auto"/>
        <w:rPr>
          <w:sz w:val="20"/>
          <w:szCs w:val="20"/>
        </w:rPr>
      </w:pPr>
      <w:r w:rsidRPr="00676348">
        <w:rPr>
          <w:sz w:val="20"/>
          <w:szCs w:val="20"/>
        </w:rPr>
        <w:t xml:space="preserve">Figure 5. Ramon sous-échantillonne préparés afin de déterminer la teneur en humidité. </w:t>
      </w:r>
    </w:p>
    <w:p w:rsidR="00676348" w:rsidRDefault="00676348" w:rsidP="00676348">
      <w:pPr>
        <w:spacing w:after="0" w:line="240" w:lineRule="auto"/>
        <w:rPr>
          <w:sz w:val="20"/>
          <w:szCs w:val="20"/>
        </w:rPr>
      </w:pPr>
    </w:p>
    <w:p w:rsidR="00676348" w:rsidRPr="00676348" w:rsidRDefault="00676348" w:rsidP="00676348">
      <w:pPr>
        <w:spacing w:after="0" w:line="240" w:lineRule="auto"/>
        <w:rPr>
          <w:sz w:val="20"/>
          <w:szCs w:val="20"/>
        </w:rPr>
      </w:pPr>
      <w:r w:rsidRPr="00676348">
        <w:rPr>
          <w:sz w:val="20"/>
          <w:szCs w:val="20"/>
        </w:rPr>
        <w:t>6.2 Analyse physiologique</w:t>
      </w:r>
    </w:p>
    <w:p w:rsidR="00676348" w:rsidRPr="00676348" w:rsidRDefault="00676348" w:rsidP="00676348">
      <w:pPr>
        <w:spacing w:after="0" w:line="240" w:lineRule="auto"/>
        <w:rPr>
          <w:sz w:val="20"/>
          <w:szCs w:val="20"/>
        </w:rPr>
      </w:pPr>
      <w:r w:rsidRPr="00676348">
        <w:rPr>
          <w:sz w:val="20"/>
          <w:szCs w:val="20"/>
        </w:rPr>
        <w:t>• Preuve de la viabilité (en pourcentage)</w:t>
      </w:r>
    </w:p>
    <w:p w:rsidR="00676348" w:rsidRPr="00676348" w:rsidRDefault="00676348" w:rsidP="00676348">
      <w:pPr>
        <w:spacing w:after="0" w:line="240" w:lineRule="auto"/>
        <w:rPr>
          <w:sz w:val="20"/>
          <w:szCs w:val="20"/>
        </w:rPr>
      </w:pPr>
      <w:r w:rsidRPr="00676348">
        <w:rPr>
          <w:sz w:val="20"/>
          <w:szCs w:val="20"/>
        </w:rPr>
        <w:t>• Preuve de la germination (la germination)</w:t>
      </w:r>
    </w:p>
    <w:p w:rsidR="00676348" w:rsidRPr="00676348" w:rsidRDefault="00676348" w:rsidP="00676348">
      <w:pPr>
        <w:spacing w:after="0" w:line="240" w:lineRule="auto"/>
        <w:rPr>
          <w:sz w:val="20"/>
          <w:szCs w:val="20"/>
        </w:rPr>
      </w:pPr>
      <w:r w:rsidRPr="00676348">
        <w:rPr>
          <w:sz w:val="20"/>
          <w:szCs w:val="20"/>
        </w:rPr>
        <w:t xml:space="preserve">Grâce à ces analyses est de déterminer les conditions physiologiques </w:t>
      </w:r>
      <w:proofErr w:type="spellStart"/>
      <w:r w:rsidRPr="00676348">
        <w:rPr>
          <w:sz w:val="20"/>
          <w:szCs w:val="20"/>
        </w:rPr>
        <w:t>recepcionado</w:t>
      </w:r>
      <w:proofErr w:type="spellEnd"/>
      <w:r w:rsidRPr="00676348">
        <w:rPr>
          <w:sz w:val="20"/>
          <w:szCs w:val="20"/>
        </w:rPr>
        <w:t xml:space="preserve"> présente le lot de semences, c'est à dire si les graines contiennent des embryons vivants, mortes ou endommagées.</w:t>
      </w:r>
    </w:p>
    <w:p w:rsidR="00676348" w:rsidRPr="00676348" w:rsidRDefault="00676348" w:rsidP="00676348">
      <w:pPr>
        <w:spacing w:after="0" w:line="240" w:lineRule="auto"/>
        <w:rPr>
          <w:sz w:val="20"/>
          <w:szCs w:val="20"/>
        </w:rPr>
      </w:pPr>
      <w:r w:rsidRPr="00676348">
        <w:rPr>
          <w:sz w:val="20"/>
          <w:szCs w:val="20"/>
        </w:rPr>
        <w:t>6.2.1 Test de viabilité</w:t>
      </w:r>
    </w:p>
    <w:p w:rsidR="00E7066B" w:rsidRDefault="00676348" w:rsidP="00676348">
      <w:pPr>
        <w:spacing w:after="0" w:line="240" w:lineRule="auto"/>
        <w:rPr>
          <w:sz w:val="20"/>
          <w:szCs w:val="20"/>
        </w:rPr>
      </w:pPr>
      <w:r w:rsidRPr="00676348">
        <w:rPr>
          <w:sz w:val="20"/>
          <w:szCs w:val="20"/>
        </w:rPr>
        <w:t xml:space="preserve">Le test de viabilité est de déterminer ce qui permet assez rapidement connaître le potentiel de germination qui peut contenir beaucoup de graines. Dans le cas de B. la viabilité </w:t>
      </w:r>
      <w:proofErr w:type="spellStart"/>
      <w:r w:rsidRPr="00676348">
        <w:rPr>
          <w:sz w:val="20"/>
          <w:szCs w:val="20"/>
        </w:rPr>
        <w:t>alicastrum</w:t>
      </w:r>
      <w:proofErr w:type="spellEnd"/>
      <w:r w:rsidRPr="00676348">
        <w:rPr>
          <w:sz w:val="20"/>
          <w:szCs w:val="20"/>
        </w:rPr>
        <w:t xml:space="preserve"> a été évaluée en testant avec des sels de </w:t>
      </w:r>
      <w:proofErr w:type="spellStart"/>
      <w:r w:rsidRPr="00676348">
        <w:rPr>
          <w:sz w:val="20"/>
          <w:szCs w:val="20"/>
        </w:rPr>
        <w:t>tétrazolium</w:t>
      </w:r>
      <w:proofErr w:type="spellEnd"/>
      <w:r w:rsidRPr="00676348">
        <w:rPr>
          <w:sz w:val="20"/>
          <w:szCs w:val="20"/>
        </w:rPr>
        <w:t xml:space="preserve"> (chlorure, 2, 3, 5-triphényl </w:t>
      </w:r>
      <w:proofErr w:type="spellStart"/>
      <w:r w:rsidRPr="00676348">
        <w:rPr>
          <w:sz w:val="20"/>
          <w:szCs w:val="20"/>
        </w:rPr>
        <w:t>tétrazol</w:t>
      </w:r>
      <w:proofErr w:type="spellEnd"/>
      <w:r w:rsidRPr="00676348">
        <w:rPr>
          <w:sz w:val="20"/>
          <w:szCs w:val="20"/>
        </w:rPr>
        <w:t>). Ce test permet la coloration des tissus vivants de graines, de sorte qu'une graine morte n'a jamais été tacher vos tissus.</w:t>
      </w:r>
    </w:p>
    <w:p w:rsidR="00E7066B" w:rsidRDefault="00E7066B" w:rsidP="00E7066B">
      <w:pPr>
        <w:spacing w:after="0" w:line="240" w:lineRule="auto"/>
        <w:rPr>
          <w:sz w:val="20"/>
          <w:szCs w:val="20"/>
        </w:rPr>
      </w:pPr>
    </w:p>
    <w:p w:rsidR="001C3CDE" w:rsidRDefault="001C3CDE" w:rsidP="001C3CDE">
      <w:pPr>
        <w:spacing w:after="0" w:line="240" w:lineRule="auto"/>
        <w:rPr>
          <w:sz w:val="20"/>
          <w:szCs w:val="20"/>
        </w:rPr>
      </w:pPr>
    </w:p>
    <w:p w:rsidR="005F76C6" w:rsidRPr="005F76C6" w:rsidRDefault="005F76C6" w:rsidP="005F76C6">
      <w:pPr>
        <w:spacing w:after="0" w:line="240" w:lineRule="auto"/>
        <w:rPr>
          <w:sz w:val="20"/>
          <w:szCs w:val="20"/>
        </w:rPr>
      </w:pPr>
      <w:r w:rsidRPr="005F76C6">
        <w:rPr>
          <w:sz w:val="20"/>
          <w:szCs w:val="20"/>
        </w:rPr>
        <w:lastRenderedPageBreak/>
        <w:t>La section suivante décrit la méthodologie pour les tests de viabilité des semences Ramon:</w:t>
      </w:r>
    </w:p>
    <w:p w:rsidR="005F76C6" w:rsidRPr="005F76C6" w:rsidRDefault="005F76C6" w:rsidP="005F76C6">
      <w:pPr>
        <w:spacing w:after="0" w:line="240" w:lineRule="auto"/>
        <w:rPr>
          <w:sz w:val="20"/>
          <w:szCs w:val="20"/>
        </w:rPr>
      </w:pPr>
      <w:r w:rsidRPr="005F76C6">
        <w:rPr>
          <w:sz w:val="20"/>
          <w:szCs w:val="20"/>
        </w:rPr>
        <w:t>60 graines choisies au hasard (de préférence tiré de la pureté de l'échantillon d'analyse).</w:t>
      </w:r>
    </w:p>
    <w:p w:rsidR="005F76C6" w:rsidRPr="005F76C6" w:rsidRDefault="005F76C6" w:rsidP="005F76C6">
      <w:pPr>
        <w:spacing w:after="0" w:line="240" w:lineRule="auto"/>
        <w:rPr>
          <w:sz w:val="20"/>
          <w:szCs w:val="20"/>
        </w:rPr>
      </w:pPr>
      <w:r w:rsidRPr="005F76C6">
        <w:rPr>
          <w:sz w:val="20"/>
          <w:szCs w:val="20"/>
        </w:rPr>
        <w:t xml:space="preserve">Les semences sélectionnées sont regroupées en 4 sous-échantillons de 15 graines chacun. Chaque graine aura un simple transversale, car elle n'a pas de tégument dur. Puis placé dans des boîtes de Pétri. Solution est ajouté immédiatement </w:t>
      </w:r>
      <w:proofErr w:type="spellStart"/>
      <w:r w:rsidRPr="005F76C6">
        <w:rPr>
          <w:sz w:val="20"/>
          <w:szCs w:val="20"/>
        </w:rPr>
        <w:t>tétrazolium</w:t>
      </w:r>
      <w:proofErr w:type="spellEnd"/>
      <w:r w:rsidRPr="005F76C6">
        <w:rPr>
          <w:sz w:val="20"/>
          <w:szCs w:val="20"/>
        </w:rPr>
        <w:t xml:space="preserve"> en essayant de couvrir les graines (Figure 6).</w:t>
      </w:r>
    </w:p>
    <w:p w:rsidR="005F76C6" w:rsidRDefault="005F76C6" w:rsidP="005F76C6">
      <w:pPr>
        <w:spacing w:after="0" w:line="240" w:lineRule="auto"/>
        <w:rPr>
          <w:sz w:val="20"/>
          <w:szCs w:val="20"/>
        </w:rPr>
      </w:pPr>
      <w:r w:rsidRPr="005F76C6">
        <w:rPr>
          <w:sz w:val="20"/>
          <w:szCs w:val="20"/>
        </w:rPr>
        <w:t> </w:t>
      </w:r>
    </w:p>
    <w:p w:rsidR="005F76C6" w:rsidRPr="005F76C6" w:rsidRDefault="005F76C6" w:rsidP="005F76C6">
      <w:pPr>
        <w:spacing w:after="0" w:line="240" w:lineRule="auto"/>
        <w:rPr>
          <w:sz w:val="20"/>
          <w:szCs w:val="20"/>
        </w:rPr>
      </w:pPr>
      <w:r>
        <w:rPr>
          <w:noProof/>
          <w:sz w:val="24"/>
          <w:szCs w:val="24"/>
          <w:lang w:eastAsia="fr-FR"/>
        </w:rPr>
        <w:drawing>
          <wp:inline distT="0" distB="0" distL="0" distR="0">
            <wp:extent cx="2686050" cy="2162175"/>
            <wp:effectExtent l="19050" t="0" r="0" b="0"/>
            <wp:docPr id="22" name="Image 22" descr="_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90"/>
                    <pic:cNvPicPr>
                      <a:picLocks noChangeAspect="1" noChangeArrowheads="1"/>
                    </pic:cNvPicPr>
                  </pic:nvPicPr>
                  <pic:blipFill>
                    <a:blip r:embed="rId13" cstate="print"/>
                    <a:srcRect/>
                    <a:stretch>
                      <a:fillRect/>
                    </a:stretch>
                  </pic:blipFill>
                  <pic:spPr bwMode="auto">
                    <a:xfrm>
                      <a:off x="0" y="0"/>
                      <a:ext cx="2686050" cy="2162175"/>
                    </a:xfrm>
                    <a:prstGeom prst="rect">
                      <a:avLst/>
                    </a:prstGeom>
                    <a:noFill/>
                    <a:ln w="9525">
                      <a:noFill/>
                      <a:miter lim="800000"/>
                      <a:headEnd/>
                      <a:tailEnd/>
                    </a:ln>
                  </pic:spPr>
                </pic:pic>
              </a:graphicData>
            </a:graphic>
          </wp:inline>
        </w:drawing>
      </w:r>
    </w:p>
    <w:p w:rsidR="005F76C6" w:rsidRPr="005F76C6" w:rsidRDefault="005F76C6" w:rsidP="005F76C6">
      <w:pPr>
        <w:spacing w:after="0" w:line="240" w:lineRule="auto"/>
        <w:rPr>
          <w:sz w:val="20"/>
          <w:szCs w:val="20"/>
        </w:rPr>
      </w:pPr>
      <w:r w:rsidRPr="005F76C6">
        <w:rPr>
          <w:sz w:val="20"/>
          <w:szCs w:val="20"/>
        </w:rPr>
        <w:t>Figure 6. Coupe transversale de la graine avant la coloration</w:t>
      </w:r>
    </w:p>
    <w:p w:rsidR="005F76C6" w:rsidRPr="005F76C6" w:rsidRDefault="005F76C6" w:rsidP="005F76C6">
      <w:pPr>
        <w:spacing w:after="0" w:line="240" w:lineRule="auto"/>
        <w:rPr>
          <w:sz w:val="20"/>
          <w:szCs w:val="20"/>
        </w:rPr>
      </w:pPr>
      <w:r w:rsidRPr="005F76C6">
        <w:rPr>
          <w:sz w:val="20"/>
          <w:szCs w:val="20"/>
        </w:rPr>
        <w:t>Pour observer les résultats des tests peuvent laisser les graines immergées dans l'eau salée pendant 24 heures recouvertes d'un film noir à la température ambiante. Par la suite, nous avons réalisé la collecte de données et est calculé en utilisant une formule.</w:t>
      </w:r>
    </w:p>
    <w:p w:rsidR="001C3CDE" w:rsidRDefault="005F76C6" w:rsidP="005F76C6">
      <w:pPr>
        <w:spacing w:after="0" w:line="240" w:lineRule="auto"/>
        <w:rPr>
          <w:sz w:val="20"/>
          <w:szCs w:val="20"/>
        </w:rPr>
      </w:pPr>
      <w:r w:rsidRPr="005F76C6">
        <w:rPr>
          <w:sz w:val="20"/>
          <w:szCs w:val="20"/>
        </w:rPr>
        <w:t>Dans la figure, que l'image montre de gauche qui a une coloration de 50% indiquant ce qui se passe aux semences et à la viabilité perdue lors de la mise champ se déroulera à risque de mauvaise germination dans l'image droite, vous pouvez apprécier la rouge carmin une coloration qui indique des conditions favorables pour le développement ultérieur (figure 7).</w:t>
      </w:r>
    </w:p>
    <w:p w:rsidR="001C3CDE" w:rsidRDefault="001C3CDE" w:rsidP="001C3CDE">
      <w:pPr>
        <w:spacing w:after="0" w:line="240" w:lineRule="auto"/>
        <w:rPr>
          <w:sz w:val="20"/>
          <w:szCs w:val="20"/>
        </w:rPr>
      </w:pPr>
    </w:p>
    <w:p w:rsidR="005F76C6" w:rsidRDefault="00995DED" w:rsidP="001C3CDE">
      <w:pPr>
        <w:spacing w:after="0" w:line="240" w:lineRule="auto"/>
        <w:rPr>
          <w:sz w:val="20"/>
          <w:szCs w:val="20"/>
        </w:rPr>
      </w:pPr>
      <w:r>
        <w:rPr>
          <w:noProof/>
          <w:sz w:val="24"/>
          <w:szCs w:val="24"/>
          <w:lang w:eastAsia="fr-FR"/>
        </w:rPr>
        <w:drawing>
          <wp:inline distT="0" distB="0" distL="0" distR="0">
            <wp:extent cx="3905250" cy="1781175"/>
            <wp:effectExtent l="19050" t="0" r="0" b="0"/>
            <wp:docPr id="25" name="Image 25"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92"/>
                    <pic:cNvPicPr>
                      <a:picLocks noChangeAspect="1" noChangeArrowheads="1"/>
                    </pic:cNvPicPr>
                  </pic:nvPicPr>
                  <pic:blipFill>
                    <a:blip r:embed="rId14" cstate="print"/>
                    <a:srcRect/>
                    <a:stretch>
                      <a:fillRect/>
                    </a:stretch>
                  </pic:blipFill>
                  <pic:spPr bwMode="auto">
                    <a:xfrm>
                      <a:off x="0" y="0"/>
                      <a:ext cx="3905250" cy="1781175"/>
                    </a:xfrm>
                    <a:prstGeom prst="rect">
                      <a:avLst/>
                    </a:prstGeom>
                    <a:noFill/>
                    <a:ln w="9525">
                      <a:noFill/>
                      <a:miter lim="800000"/>
                      <a:headEnd/>
                      <a:tailEnd/>
                    </a:ln>
                  </pic:spPr>
                </pic:pic>
              </a:graphicData>
            </a:graphic>
          </wp:inline>
        </w:drawing>
      </w:r>
    </w:p>
    <w:p w:rsidR="00995DED" w:rsidRDefault="00995DED" w:rsidP="00995DED">
      <w:pPr>
        <w:spacing w:after="0" w:line="240" w:lineRule="auto"/>
        <w:rPr>
          <w:sz w:val="20"/>
          <w:szCs w:val="20"/>
        </w:rPr>
      </w:pPr>
      <w:r>
        <w:rPr>
          <w:sz w:val="20"/>
          <w:szCs w:val="20"/>
        </w:rPr>
        <w:t>Figure 7. Semences de</w:t>
      </w:r>
      <w:r w:rsidRPr="00995DED">
        <w:rPr>
          <w:sz w:val="20"/>
          <w:szCs w:val="20"/>
        </w:rPr>
        <w:t xml:space="preserve"> Ramon, après le test au </w:t>
      </w:r>
      <w:proofErr w:type="spellStart"/>
      <w:r w:rsidRPr="00995DED">
        <w:rPr>
          <w:sz w:val="20"/>
          <w:szCs w:val="20"/>
        </w:rPr>
        <w:t>tétrazolium</w:t>
      </w:r>
      <w:proofErr w:type="spellEnd"/>
      <w:r w:rsidRPr="00995DED">
        <w:rPr>
          <w:sz w:val="20"/>
          <w:szCs w:val="20"/>
        </w:rPr>
        <w:t xml:space="preserve">. </w:t>
      </w:r>
    </w:p>
    <w:p w:rsidR="00995DED" w:rsidRDefault="00995DED" w:rsidP="00995DED">
      <w:pPr>
        <w:spacing w:after="0" w:line="240" w:lineRule="auto"/>
        <w:rPr>
          <w:sz w:val="20"/>
          <w:szCs w:val="20"/>
        </w:rPr>
      </w:pPr>
    </w:p>
    <w:p w:rsidR="00995DED" w:rsidRPr="00995DED" w:rsidRDefault="00995DED" w:rsidP="00995DED">
      <w:pPr>
        <w:spacing w:after="0" w:line="240" w:lineRule="auto"/>
        <w:rPr>
          <w:sz w:val="20"/>
          <w:szCs w:val="20"/>
        </w:rPr>
      </w:pPr>
      <w:r w:rsidRPr="00995DED">
        <w:rPr>
          <w:sz w:val="20"/>
          <w:szCs w:val="20"/>
        </w:rPr>
        <w:t>6.2.2 Test de germination</w:t>
      </w:r>
    </w:p>
    <w:p w:rsidR="00995DED" w:rsidRPr="00995DED" w:rsidRDefault="00995DED" w:rsidP="00995DED">
      <w:pPr>
        <w:spacing w:after="0" w:line="240" w:lineRule="auto"/>
        <w:rPr>
          <w:sz w:val="20"/>
          <w:szCs w:val="20"/>
        </w:rPr>
      </w:pPr>
      <w:r w:rsidRPr="00995DED">
        <w:rPr>
          <w:sz w:val="20"/>
          <w:szCs w:val="20"/>
        </w:rPr>
        <w:t>La germination est le processus pour trouver le nombre maximal de graines capables de sortir dans la meilleure position pour donner naissance à une nouvelle usine.</w:t>
      </w:r>
    </w:p>
    <w:p w:rsidR="00995DED" w:rsidRPr="00995DED" w:rsidRDefault="00995DED" w:rsidP="00995DED">
      <w:pPr>
        <w:spacing w:after="0" w:line="240" w:lineRule="auto"/>
        <w:rPr>
          <w:sz w:val="20"/>
          <w:szCs w:val="20"/>
        </w:rPr>
      </w:pPr>
      <w:r w:rsidRPr="00995DED">
        <w:rPr>
          <w:sz w:val="20"/>
          <w:szCs w:val="20"/>
        </w:rPr>
        <w:t>La section suivante décrit la méthodologie utilisée pour tester la germination des lots de semences Ramon:</w:t>
      </w:r>
    </w:p>
    <w:p w:rsidR="00995DED" w:rsidRDefault="00995DED" w:rsidP="00995DED">
      <w:pPr>
        <w:spacing w:after="0" w:line="240" w:lineRule="auto"/>
        <w:rPr>
          <w:sz w:val="20"/>
          <w:szCs w:val="20"/>
        </w:rPr>
      </w:pPr>
      <w:r w:rsidRPr="00995DED">
        <w:rPr>
          <w:sz w:val="20"/>
          <w:szCs w:val="20"/>
        </w:rPr>
        <w:t>Tout d'abord, un échantillon de 100 graines pour être évalué (vous pouvez utiliser l'analyse de la pureté). Les graines sont placées dans une solution fongicide (</w:t>
      </w:r>
      <w:proofErr w:type="spellStart"/>
      <w:r w:rsidRPr="00995DED">
        <w:rPr>
          <w:sz w:val="20"/>
          <w:szCs w:val="20"/>
        </w:rPr>
        <w:t>captane</w:t>
      </w:r>
      <w:proofErr w:type="spellEnd"/>
      <w:r w:rsidRPr="00995DED">
        <w:rPr>
          <w:sz w:val="20"/>
          <w:szCs w:val="20"/>
        </w:rPr>
        <w:t xml:space="preserve">, 3 gr/L-1) pendant 15 minutes. Plus tard, les 100 graines sont regroupées en 4 sous-échantillons de 25 graines chacun. Alors préparez-4 boîtes de germination </w:t>
      </w:r>
      <w:proofErr w:type="spellStart"/>
      <w:r w:rsidRPr="00995DED">
        <w:rPr>
          <w:sz w:val="20"/>
          <w:szCs w:val="20"/>
        </w:rPr>
        <w:t>Agrolite</w:t>
      </w:r>
      <w:proofErr w:type="spellEnd"/>
      <w:r w:rsidRPr="00995DED">
        <w:rPr>
          <w:sz w:val="20"/>
          <w:szCs w:val="20"/>
        </w:rPr>
        <w:t xml:space="preserve"> désinfectée est placé la moitié de la boîte de substrat (quatrième substrat couvrir les graines) et de l'eau distillée est ajoutée uniquement pour mouiller le substrat, sans dépasser l'humidité, parce que la semence contient quantité d'eau, puis mouiller le substrat de la boîtes 4 sont déposées sur chaque graine 25 et recouvertes par le substrat ci-dessus décrit quatrième (figure 8).</w:t>
      </w:r>
    </w:p>
    <w:p w:rsidR="00995DED" w:rsidRDefault="00995DED" w:rsidP="00995DED">
      <w:pPr>
        <w:spacing w:after="0" w:line="240" w:lineRule="auto"/>
        <w:rPr>
          <w:sz w:val="20"/>
          <w:szCs w:val="20"/>
        </w:rPr>
      </w:pPr>
    </w:p>
    <w:p w:rsidR="00995DED" w:rsidRDefault="00995DED" w:rsidP="00995DED">
      <w:pPr>
        <w:spacing w:after="0" w:line="240" w:lineRule="auto"/>
        <w:rPr>
          <w:sz w:val="20"/>
          <w:szCs w:val="20"/>
        </w:rPr>
      </w:pPr>
      <w:r>
        <w:rPr>
          <w:noProof/>
          <w:sz w:val="24"/>
          <w:szCs w:val="24"/>
          <w:lang w:eastAsia="fr-FR"/>
        </w:rPr>
        <w:lastRenderedPageBreak/>
        <w:drawing>
          <wp:inline distT="0" distB="0" distL="0" distR="0">
            <wp:extent cx="2809875" cy="1971675"/>
            <wp:effectExtent l="19050" t="0" r="9525" b="0"/>
            <wp:docPr id="28" name="Image 28" descr="_Pi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96"/>
                    <pic:cNvPicPr>
                      <a:picLocks noChangeAspect="1" noChangeArrowheads="1"/>
                    </pic:cNvPicPr>
                  </pic:nvPicPr>
                  <pic:blipFill>
                    <a:blip r:embed="rId15" cstate="print"/>
                    <a:srcRect/>
                    <a:stretch>
                      <a:fillRect/>
                    </a:stretch>
                  </pic:blipFill>
                  <pic:spPr bwMode="auto">
                    <a:xfrm>
                      <a:off x="0" y="0"/>
                      <a:ext cx="2809875" cy="1971675"/>
                    </a:xfrm>
                    <a:prstGeom prst="rect">
                      <a:avLst/>
                    </a:prstGeom>
                    <a:noFill/>
                    <a:ln w="9525">
                      <a:noFill/>
                      <a:miter lim="800000"/>
                      <a:headEnd/>
                      <a:tailEnd/>
                    </a:ln>
                  </pic:spPr>
                </pic:pic>
              </a:graphicData>
            </a:graphic>
          </wp:inline>
        </w:drawing>
      </w:r>
    </w:p>
    <w:p w:rsidR="00995DED" w:rsidRDefault="00995DED" w:rsidP="00995DED">
      <w:pPr>
        <w:spacing w:after="0" w:line="240" w:lineRule="auto"/>
        <w:rPr>
          <w:sz w:val="20"/>
          <w:szCs w:val="20"/>
        </w:rPr>
      </w:pPr>
      <w:r w:rsidRPr="00995DED">
        <w:rPr>
          <w:sz w:val="20"/>
          <w:szCs w:val="20"/>
        </w:rPr>
        <w:t>Figure 8. Position des graines sur un substrat</w:t>
      </w:r>
    </w:p>
    <w:p w:rsidR="00995DED" w:rsidRDefault="00995DED" w:rsidP="00995DED">
      <w:pPr>
        <w:spacing w:after="0" w:line="240" w:lineRule="auto"/>
        <w:rPr>
          <w:sz w:val="20"/>
          <w:szCs w:val="20"/>
        </w:rPr>
      </w:pPr>
    </w:p>
    <w:p w:rsidR="00995DED" w:rsidRPr="00995DED" w:rsidRDefault="00995DED" w:rsidP="00995DED">
      <w:pPr>
        <w:spacing w:after="0" w:line="240" w:lineRule="auto"/>
        <w:rPr>
          <w:sz w:val="20"/>
          <w:szCs w:val="20"/>
        </w:rPr>
      </w:pPr>
      <w:r w:rsidRPr="00995DED">
        <w:rPr>
          <w:sz w:val="20"/>
          <w:szCs w:val="20"/>
        </w:rPr>
        <w:t>Prendre les 4 sous-listes noter les éléments suivants: numéro de lot, l'espèce, la date de plantation et le nombre de sous-échantillon (dans les étiquettes collantes) pour atteindre plus de les identifier.</w:t>
      </w:r>
    </w:p>
    <w:p w:rsidR="00995DED" w:rsidRPr="00995DED" w:rsidRDefault="00995DED" w:rsidP="00995DED">
      <w:pPr>
        <w:spacing w:after="0" w:line="240" w:lineRule="auto"/>
        <w:rPr>
          <w:sz w:val="20"/>
          <w:szCs w:val="20"/>
        </w:rPr>
      </w:pPr>
      <w:r w:rsidRPr="00995DED">
        <w:rPr>
          <w:sz w:val="20"/>
          <w:szCs w:val="20"/>
        </w:rPr>
        <w:t xml:space="preserve">Enfin, les quatre sous-échantillons seront placés dans une germination pendant 21 jours à une température constante de 30 ° C + / - 2 ° C. Pendant le temps que les échantillons sont en germe dans les examens périodiques sont effectuées tous les 5 jours pour évaluer l'état de santé des échantillons. Et à partir de la date de début de l'essai sont </w:t>
      </w:r>
      <w:proofErr w:type="gramStart"/>
      <w:r w:rsidRPr="00995DED">
        <w:rPr>
          <w:sz w:val="20"/>
          <w:szCs w:val="20"/>
        </w:rPr>
        <w:t>effectuées</w:t>
      </w:r>
      <w:proofErr w:type="gramEnd"/>
      <w:r w:rsidRPr="00995DED">
        <w:rPr>
          <w:sz w:val="20"/>
          <w:szCs w:val="20"/>
        </w:rPr>
        <w:t xml:space="preserve"> tous les 7 chefs d'accusation jours (3 chefs) de germes. Les montants sont inscrits dans le format "tests physiologiques» et retiré de boîtes de germination des germes et de graines endommagées (Figure 9).</w:t>
      </w:r>
    </w:p>
    <w:p w:rsidR="00995DED" w:rsidRDefault="00995DED" w:rsidP="00995DED">
      <w:pPr>
        <w:spacing w:after="0" w:line="240" w:lineRule="auto"/>
        <w:rPr>
          <w:sz w:val="20"/>
          <w:szCs w:val="20"/>
        </w:rPr>
      </w:pPr>
    </w:p>
    <w:p w:rsidR="00995DED" w:rsidRPr="00995DED" w:rsidRDefault="00995DED" w:rsidP="00995DED">
      <w:pPr>
        <w:spacing w:after="0" w:line="240" w:lineRule="auto"/>
        <w:rPr>
          <w:sz w:val="20"/>
          <w:szCs w:val="20"/>
        </w:rPr>
      </w:pPr>
      <w:r>
        <w:rPr>
          <w:noProof/>
          <w:sz w:val="24"/>
          <w:szCs w:val="24"/>
          <w:lang w:eastAsia="fr-FR"/>
        </w:rPr>
        <w:drawing>
          <wp:inline distT="0" distB="0" distL="0" distR="0">
            <wp:extent cx="3657600" cy="1800225"/>
            <wp:effectExtent l="19050" t="0" r="0" b="0"/>
            <wp:docPr id="31" name="Image 31"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103"/>
                    <pic:cNvPicPr>
                      <a:picLocks noChangeAspect="1" noChangeArrowheads="1"/>
                    </pic:cNvPicPr>
                  </pic:nvPicPr>
                  <pic:blipFill>
                    <a:blip r:embed="rId16" cstate="print"/>
                    <a:srcRect/>
                    <a:stretch>
                      <a:fillRect/>
                    </a:stretch>
                  </pic:blipFill>
                  <pic:spPr bwMode="auto">
                    <a:xfrm>
                      <a:off x="0" y="0"/>
                      <a:ext cx="3657600" cy="1800225"/>
                    </a:xfrm>
                    <a:prstGeom prst="rect">
                      <a:avLst/>
                    </a:prstGeom>
                    <a:noFill/>
                    <a:ln w="9525">
                      <a:noFill/>
                      <a:miter lim="800000"/>
                      <a:headEnd/>
                      <a:tailEnd/>
                    </a:ln>
                  </pic:spPr>
                </pic:pic>
              </a:graphicData>
            </a:graphic>
          </wp:inline>
        </w:drawing>
      </w:r>
      <w:r w:rsidRPr="00995DED">
        <w:rPr>
          <w:sz w:val="20"/>
          <w:szCs w:val="20"/>
        </w:rPr>
        <w:t> </w:t>
      </w:r>
    </w:p>
    <w:p w:rsidR="00995DED" w:rsidRPr="00995DED" w:rsidRDefault="00995DED" w:rsidP="00995DED">
      <w:pPr>
        <w:spacing w:after="0" w:line="240" w:lineRule="auto"/>
        <w:rPr>
          <w:sz w:val="20"/>
          <w:szCs w:val="20"/>
        </w:rPr>
      </w:pPr>
      <w:r w:rsidRPr="00995DED">
        <w:rPr>
          <w:sz w:val="20"/>
          <w:szCs w:val="20"/>
        </w:rPr>
        <w:t>Figure 9. Comptage des graines germées à 14 jours</w:t>
      </w:r>
    </w:p>
    <w:p w:rsidR="00995DED" w:rsidRDefault="00995DED" w:rsidP="00995DED">
      <w:pPr>
        <w:spacing w:after="0" w:line="240" w:lineRule="auto"/>
        <w:rPr>
          <w:sz w:val="20"/>
          <w:szCs w:val="20"/>
        </w:rPr>
      </w:pPr>
      <w:r w:rsidRPr="00995DED">
        <w:rPr>
          <w:sz w:val="20"/>
          <w:szCs w:val="20"/>
        </w:rPr>
        <w:t>À la fin de l'épreuve après avoir terminé les 3 chefs d'accusation ont été analysés les graines ne germent pas, et les détails sur les causes, ces graines est habituellement sensible aux champignons si les soins doivent être prises pour ne pas dépasser la teneur en humidité.</w:t>
      </w:r>
    </w:p>
    <w:p w:rsidR="00995DED" w:rsidRDefault="00995DED" w:rsidP="00995DED">
      <w:pPr>
        <w:spacing w:after="0" w:line="240" w:lineRule="auto"/>
        <w:rPr>
          <w:sz w:val="20"/>
          <w:szCs w:val="20"/>
        </w:rPr>
      </w:pPr>
    </w:p>
    <w:p w:rsidR="00995DED" w:rsidRDefault="006649CD" w:rsidP="00995DED">
      <w:pPr>
        <w:spacing w:after="0" w:line="240" w:lineRule="auto"/>
        <w:rPr>
          <w:sz w:val="20"/>
          <w:szCs w:val="20"/>
        </w:rPr>
      </w:pPr>
      <w:r>
        <w:rPr>
          <w:sz w:val="20"/>
          <w:szCs w:val="20"/>
        </w:rPr>
        <w:t>BIBLIOGRAPHIE</w:t>
      </w:r>
    </w:p>
    <w:p w:rsidR="006649CD" w:rsidRDefault="006649CD" w:rsidP="00995DED">
      <w:pPr>
        <w:spacing w:after="0" w:line="240" w:lineRule="auto"/>
        <w:rPr>
          <w:sz w:val="20"/>
          <w:szCs w:val="20"/>
        </w:rPr>
      </w:pPr>
    </w:p>
    <w:p w:rsidR="006649CD" w:rsidRDefault="00243F17" w:rsidP="006649CD">
      <w:pPr>
        <w:kinsoku w:val="0"/>
        <w:overflowPunct w:val="0"/>
        <w:spacing w:line="336" w:lineRule="exact"/>
        <w:ind w:left="216" w:right="216"/>
        <w:textAlignment w:val="baseline"/>
        <w:rPr>
          <w:rFonts w:ascii="Calibri" w:hAnsi="Calibri" w:cs="Calibri"/>
          <w:sz w:val="25"/>
          <w:szCs w:val="25"/>
        </w:rPr>
      </w:pPr>
      <w:r>
        <w:rPr>
          <w:noProof/>
        </w:rPr>
        <w:pict>
          <v:line id="_x0000_s1027" style="position:absolute;left:0;text-align:left;z-index:251660288;mso-wrap-distance-left:0;mso-wrap-distance-right:0" from="2.35pt,600.3pt" to="324.8pt,600.3pt" o:allowincell="f" strokecolor="#c00000" strokeweight=".7pt">
            <w10:wrap type="square"/>
          </v:line>
        </w:pict>
      </w:r>
      <w:r w:rsidR="006649CD">
        <w:rPr>
          <w:rFonts w:ascii="Calibri" w:hAnsi="Calibri" w:cs="Calibri"/>
          <w:sz w:val="25"/>
          <w:szCs w:val="25"/>
        </w:rPr>
        <w:t xml:space="preserve">Duran, R., et al. 2000. </w:t>
      </w:r>
      <w:proofErr w:type="spellStart"/>
      <w:r w:rsidR="006649CD">
        <w:rPr>
          <w:rFonts w:ascii="Calibri" w:hAnsi="Calibri" w:cs="Calibri"/>
          <w:b/>
          <w:bCs/>
          <w:sz w:val="24"/>
          <w:szCs w:val="24"/>
        </w:rPr>
        <w:t>Listado</w:t>
      </w:r>
      <w:proofErr w:type="spellEnd"/>
      <w:r w:rsidR="006649CD">
        <w:rPr>
          <w:rFonts w:ascii="Calibri" w:hAnsi="Calibri" w:cs="Calibri"/>
          <w:b/>
          <w:bCs/>
          <w:sz w:val="24"/>
          <w:szCs w:val="24"/>
        </w:rPr>
        <w:t xml:space="preserve"> </w:t>
      </w:r>
      <w:proofErr w:type="spellStart"/>
      <w:r w:rsidR="006649CD">
        <w:rPr>
          <w:rFonts w:ascii="Calibri" w:hAnsi="Calibri" w:cs="Calibri"/>
          <w:b/>
          <w:bCs/>
          <w:sz w:val="24"/>
          <w:szCs w:val="24"/>
        </w:rPr>
        <w:t>florístico</w:t>
      </w:r>
      <w:proofErr w:type="spellEnd"/>
      <w:r w:rsidR="006649CD">
        <w:rPr>
          <w:rFonts w:ascii="Calibri" w:hAnsi="Calibri" w:cs="Calibri"/>
          <w:b/>
          <w:bCs/>
          <w:sz w:val="24"/>
          <w:szCs w:val="24"/>
        </w:rPr>
        <w:t xml:space="preserve"> de la </w:t>
      </w:r>
      <w:proofErr w:type="spellStart"/>
      <w:r w:rsidR="006649CD">
        <w:rPr>
          <w:rFonts w:ascii="Calibri" w:hAnsi="Calibri" w:cs="Calibri"/>
          <w:b/>
          <w:bCs/>
          <w:sz w:val="24"/>
          <w:szCs w:val="24"/>
        </w:rPr>
        <w:t>península</w:t>
      </w:r>
      <w:proofErr w:type="spellEnd"/>
      <w:r w:rsidR="006649CD">
        <w:rPr>
          <w:rFonts w:ascii="Calibri" w:hAnsi="Calibri" w:cs="Calibri"/>
          <w:b/>
          <w:bCs/>
          <w:sz w:val="24"/>
          <w:szCs w:val="24"/>
        </w:rPr>
        <w:t xml:space="preserve"> de Yucatán. </w:t>
      </w:r>
      <w:r w:rsidR="006649CD">
        <w:rPr>
          <w:rFonts w:ascii="Calibri" w:hAnsi="Calibri" w:cs="Calibri"/>
          <w:sz w:val="25"/>
          <w:szCs w:val="25"/>
        </w:rPr>
        <w:t xml:space="preserve">Centro </w:t>
      </w:r>
      <w:proofErr w:type="gramStart"/>
      <w:r w:rsidR="006649CD">
        <w:rPr>
          <w:rFonts w:ascii="Calibri" w:hAnsi="Calibri" w:cs="Calibri"/>
          <w:sz w:val="25"/>
          <w:szCs w:val="25"/>
        </w:rPr>
        <w:t xml:space="preserve">de </w:t>
      </w:r>
      <w:proofErr w:type="spellStart"/>
      <w:r w:rsidR="006649CD">
        <w:rPr>
          <w:rFonts w:ascii="Calibri" w:hAnsi="Calibri" w:cs="Calibri"/>
          <w:sz w:val="25"/>
          <w:szCs w:val="25"/>
        </w:rPr>
        <w:t>Investigaciôn</w:t>
      </w:r>
      <w:proofErr w:type="spellEnd"/>
      <w:proofErr w:type="gramEnd"/>
      <w:r w:rsidR="006649CD">
        <w:rPr>
          <w:rFonts w:ascii="Calibri" w:hAnsi="Calibri" w:cs="Calibri"/>
          <w:sz w:val="25"/>
          <w:szCs w:val="25"/>
        </w:rPr>
        <w:t xml:space="preserve"> </w:t>
      </w:r>
      <w:proofErr w:type="spellStart"/>
      <w:r w:rsidR="006649CD">
        <w:rPr>
          <w:rFonts w:ascii="Calibri" w:hAnsi="Calibri" w:cs="Calibri"/>
          <w:sz w:val="25"/>
          <w:szCs w:val="25"/>
        </w:rPr>
        <w:t>Científica</w:t>
      </w:r>
      <w:proofErr w:type="spellEnd"/>
      <w:r w:rsidR="006649CD">
        <w:rPr>
          <w:rFonts w:ascii="Calibri" w:hAnsi="Calibri" w:cs="Calibri"/>
          <w:sz w:val="25"/>
          <w:szCs w:val="25"/>
        </w:rPr>
        <w:t xml:space="preserve"> de </w:t>
      </w:r>
      <w:proofErr w:type="spellStart"/>
      <w:r w:rsidR="006649CD">
        <w:rPr>
          <w:rFonts w:ascii="Calibri" w:hAnsi="Calibri" w:cs="Calibri"/>
          <w:sz w:val="25"/>
          <w:szCs w:val="25"/>
        </w:rPr>
        <w:t>Yucatân</w:t>
      </w:r>
      <w:proofErr w:type="spellEnd"/>
      <w:r w:rsidR="006649CD">
        <w:rPr>
          <w:rFonts w:ascii="Calibri" w:hAnsi="Calibri" w:cs="Calibri"/>
          <w:sz w:val="25"/>
          <w:szCs w:val="25"/>
        </w:rPr>
        <w:t xml:space="preserve">, A.C. Mérida, </w:t>
      </w:r>
      <w:proofErr w:type="spellStart"/>
      <w:r w:rsidR="006649CD">
        <w:rPr>
          <w:rFonts w:ascii="Calibri" w:hAnsi="Calibri" w:cs="Calibri"/>
          <w:sz w:val="25"/>
          <w:szCs w:val="25"/>
        </w:rPr>
        <w:t>Yucatân</w:t>
      </w:r>
      <w:proofErr w:type="spellEnd"/>
      <w:r w:rsidR="006649CD">
        <w:rPr>
          <w:rFonts w:ascii="Calibri" w:hAnsi="Calibri" w:cs="Calibri"/>
          <w:sz w:val="25"/>
          <w:szCs w:val="25"/>
        </w:rPr>
        <w:t>.</w:t>
      </w:r>
    </w:p>
    <w:p w:rsidR="006649CD" w:rsidRDefault="006649CD" w:rsidP="006649CD">
      <w:pPr>
        <w:kinsoku w:val="0"/>
        <w:overflowPunct w:val="0"/>
        <w:spacing w:before="200" w:line="337" w:lineRule="exact"/>
        <w:ind w:left="216" w:right="216"/>
        <w:textAlignment w:val="baseline"/>
        <w:rPr>
          <w:rFonts w:ascii="Calibri" w:hAnsi="Calibri" w:cs="Calibri"/>
          <w:spacing w:val="-3"/>
          <w:sz w:val="25"/>
          <w:szCs w:val="25"/>
        </w:rPr>
      </w:pPr>
      <w:proofErr w:type="spellStart"/>
      <w:r>
        <w:rPr>
          <w:rFonts w:ascii="Calibri" w:hAnsi="Calibri" w:cs="Calibri"/>
          <w:spacing w:val="-3"/>
          <w:sz w:val="25"/>
          <w:szCs w:val="25"/>
        </w:rPr>
        <w:t>Duran</w:t>
      </w:r>
      <w:proofErr w:type="gramStart"/>
      <w:r>
        <w:rPr>
          <w:rFonts w:ascii="Calibri" w:hAnsi="Calibri" w:cs="Calibri"/>
          <w:spacing w:val="-3"/>
          <w:sz w:val="25"/>
          <w:szCs w:val="25"/>
        </w:rPr>
        <w:t>,R</w:t>
      </w:r>
      <w:proofErr w:type="spellEnd"/>
      <w:proofErr w:type="gramEnd"/>
      <w:r>
        <w:rPr>
          <w:rFonts w:ascii="Calibri" w:hAnsi="Calibri" w:cs="Calibri"/>
          <w:spacing w:val="-3"/>
          <w:sz w:val="25"/>
          <w:szCs w:val="25"/>
        </w:rPr>
        <w:t xml:space="preserve">. et al. 2000. </w:t>
      </w:r>
      <w:proofErr w:type="spellStart"/>
      <w:r>
        <w:rPr>
          <w:rFonts w:ascii="Calibri" w:hAnsi="Calibri" w:cs="Calibri"/>
          <w:b/>
          <w:bCs/>
          <w:spacing w:val="-3"/>
          <w:sz w:val="24"/>
          <w:szCs w:val="24"/>
        </w:rPr>
        <w:t>Manual</w:t>
      </w:r>
      <w:proofErr w:type="spellEnd"/>
      <w:r>
        <w:rPr>
          <w:rFonts w:ascii="Calibri" w:hAnsi="Calibri" w:cs="Calibri"/>
          <w:b/>
          <w:bCs/>
          <w:spacing w:val="-3"/>
          <w:sz w:val="24"/>
          <w:szCs w:val="24"/>
        </w:rPr>
        <w:t xml:space="preserve"> de </w:t>
      </w:r>
      <w:proofErr w:type="spellStart"/>
      <w:r>
        <w:rPr>
          <w:rFonts w:ascii="Calibri" w:hAnsi="Calibri" w:cs="Calibri"/>
          <w:b/>
          <w:bCs/>
          <w:spacing w:val="-3"/>
          <w:sz w:val="24"/>
          <w:szCs w:val="24"/>
        </w:rPr>
        <w:t>Propagaciôn</w:t>
      </w:r>
      <w:proofErr w:type="spellEnd"/>
      <w:r>
        <w:rPr>
          <w:rFonts w:ascii="Calibri" w:hAnsi="Calibri" w:cs="Calibri"/>
          <w:b/>
          <w:bCs/>
          <w:spacing w:val="-3"/>
          <w:sz w:val="24"/>
          <w:szCs w:val="24"/>
        </w:rPr>
        <w:t xml:space="preserve"> de Plantas </w:t>
      </w:r>
      <w:proofErr w:type="spellStart"/>
      <w:r>
        <w:rPr>
          <w:rFonts w:ascii="Calibri" w:hAnsi="Calibri" w:cs="Calibri"/>
          <w:b/>
          <w:bCs/>
          <w:spacing w:val="-3"/>
          <w:sz w:val="24"/>
          <w:szCs w:val="24"/>
        </w:rPr>
        <w:t>Nativas</w:t>
      </w:r>
      <w:proofErr w:type="spellEnd"/>
      <w:r>
        <w:rPr>
          <w:rFonts w:ascii="Calibri" w:hAnsi="Calibri" w:cs="Calibri"/>
          <w:b/>
          <w:bCs/>
          <w:spacing w:val="-3"/>
          <w:sz w:val="24"/>
          <w:szCs w:val="24"/>
        </w:rPr>
        <w:t xml:space="preserve"> de la </w:t>
      </w:r>
      <w:proofErr w:type="spellStart"/>
      <w:r>
        <w:rPr>
          <w:rFonts w:ascii="Calibri" w:hAnsi="Calibri" w:cs="Calibri"/>
          <w:b/>
          <w:bCs/>
          <w:spacing w:val="-3"/>
          <w:sz w:val="24"/>
          <w:szCs w:val="24"/>
        </w:rPr>
        <w:t>Península</w:t>
      </w:r>
      <w:proofErr w:type="spellEnd"/>
      <w:r>
        <w:rPr>
          <w:rFonts w:ascii="Calibri" w:hAnsi="Calibri" w:cs="Calibri"/>
          <w:b/>
          <w:bCs/>
          <w:spacing w:val="-3"/>
          <w:sz w:val="24"/>
          <w:szCs w:val="24"/>
        </w:rPr>
        <w:t xml:space="preserve"> de Yucatán. </w:t>
      </w:r>
      <w:proofErr w:type="spellStart"/>
      <w:r>
        <w:rPr>
          <w:rFonts w:ascii="Calibri" w:hAnsi="Calibri" w:cs="Calibri"/>
          <w:spacing w:val="-3"/>
          <w:sz w:val="25"/>
          <w:szCs w:val="25"/>
        </w:rPr>
        <w:t>Volumen</w:t>
      </w:r>
      <w:proofErr w:type="spellEnd"/>
      <w:r>
        <w:rPr>
          <w:rFonts w:ascii="Calibri" w:hAnsi="Calibri" w:cs="Calibri"/>
          <w:spacing w:val="-3"/>
          <w:sz w:val="25"/>
          <w:szCs w:val="25"/>
        </w:rPr>
        <w:t xml:space="preserve"> 2. Centro de </w:t>
      </w:r>
      <w:proofErr w:type="spellStart"/>
      <w:r>
        <w:rPr>
          <w:rFonts w:ascii="Calibri" w:hAnsi="Calibri" w:cs="Calibri"/>
          <w:spacing w:val="-3"/>
          <w:sz w:val="25"/>
          <w:szCs w:val="25"/>
        </w:rPr>
        <w:t>Investigaciôn</w:t>
      </w:r>
      <w:proofErr w:type="spellEnd"/>
      <w:r>
        <w:rPr>
          <w:rFonts w:ascii="Calibri" w:hAnsi="Calibri" w:cs="Calibri"/>
          <w:spacing w:val="-3"/>
          <w:sz w:val="25"/>
          <w:szCs w:val="25"/>
        </w:rPr>
        <w:t xml:space="preserve"> </w:t>
      </w:r>
      <w:proofErr w:type="spellStart"/>
      <w:r>
        <w:rPr>
          <w:rFonts w:ascii="Calibri" w:hAnsi="Calibri" w:cs="Calibri"/>
          <w:spacing w:val="-3"/>
          <w:sz w:val="25"/>
          <w:szCs w:val="25"/>
        </w:rPr>
        <w:t>Científica</w:t>
      </w:r>
      <w:proofErr w:type="spellEnd"/>
      <w:r>
        <w:rPr>
          <w:rFonts w:ascii="Calibri" w:hAnsi="Calibri" w:cs="Calibri"/>
          <w:spacing w:val="-3"/>
          <w:sz w:val="25"/>
          <w:szCs w:val="25"/>
        </w:rPr>
        <w:t xml:space="preserve"> de </w:t>
      </w:r>
      <w:proofErr w:type="spellStart"/>
      <w:r>
        <w:rPr>
          <w:rFonts w:ascii="Calibri" w:hAnsi="Calibri" w:cs="Calibri"/>
          <w:spacing w:val="-3"/>
          <w:sz w:val="25"/>
          <w:szCs w:val="25"/>
        </w:rPr>
        <w:t>Yucatân</w:t>
      </w:r>
      <w:proofErr w:type="spellEnd"/>
      <w:r>
        <w:rPr>
          <w:rFonts w:ascii="Calibri" w:hAnsi="Calibri" w:cs="Calibri"/>
          <w:spacing w:val="-3"/>
          <w:sz w:val="25"/>
          <w:szCs w:val="25"/>
        </w:rPr>
        <w:t xml:space="preserve">, A.C. Mérida </w:t>
      </w:r>
      <w:proofErr w:type="spellStart"/>
      <w:r>
        <w:rPr>
          <w:rFonts w:ascii="Calibri" w:hAnsi="Calibri" w:cs="Calibri"/>
          <w:spacing w:val="-3"/>
          <w:sz w:val="25"/>
          <w:szCs w:val="25"/>
        </w:rPr>
        <w:t>Yucatân</w:t>
      </w:r>
      <w:proofErr w:type="spellEnd"/>
      <w:r>
        <w:rPr>
          <w:rFonts w:ascii="Calibri" w:hAnsi="Calibri" w:cs="Calibri"/>
          <w:spacing w:val="-3"/>
          <w:sz w:val="25"/>
          <w:szCs w:val="25"/>
        </w:rPr>
        <w:t>.</w:t>
      </w:r>
    </w:p>
    <w:p w:rsidR="006649CD" w:rsidRPr="00BF0601" w:rsidRDefault="006649CD" w:rsidP="006649CD">
      <w:pPr>
        <w:kinsoku w:val="0"/>
        <w:overflowPunct w:val="0"/>
        <w:spacing w:before="191" w:line="341" w:lineRule="exact"/>
        <w:ind w:left="216" w:right="216"/>
        <w:textAlignment w:val="baseline"/>
        <w:rPr>
          <w:rFonts w:ascii="Calibri" w:hAnsi="Calibri" w:cs="Calibri"/>
          <w:sz w:val="25"/>
          <w:szCs w:val="25"/>
        </w:rPr>
      </w:pPr>
      <w:proofErr w:type="spellStart"/>
      <w:r>
        <w:rPr>
          <w:rFonts w:ascii="Calibri" w:hAnsi="Calibri" w:cs="Calibri"/>
          <w:sz w:val="25"/>
          <w:szCs w:val="25"/>
        </w:rPr>
        <w:t>Kameswara</w:t>
      </w:r>
      <w:proofErr w:type="gramStart"/>
      <w:r>
        <w:rPr>
          <w:rFonts w:ascii="Calibri" w:hAnsi="Calibri" w:cs="Calibri"/>
          <w:sz w:val="25"/>
          <w:szCs w:val="25"/>
        </w:rPr>
        <w:t>,N.R</w:t>
      </w:r>
      <w:proofErr w:type="spellEnd"/>
      <w:proofErr w:type="gramEnd"/>
      <w:r>
        <w:rPr>
          <w:rFonts w:ascii="Calibri" w:hAnsi="Calibri" w:cs="Calibri"/>
          <w:sz w:val="25"/>
          <w:szCs w:val="25"/>
        </w:rPr>
        <w:t xml:space="preserve">., et al.2007.Manual de </w:t>
      </w:r>
      <w:proofErr w:type="spellStart"/>
      <w:r>
        <w:rPr>
          <w:rFonts w:ascii="Calibri" w:hAnsi="Calibri" w:cs="Calibri"/>
          <w:sz w:val="25"/>
          <w:szCs w:val="25"/>
        </w:rPr>
        <w:t>manejo</w:t>
      </w:r>
      <w:proofErr w:type="spellEnd"/>
      <w:r>
        <w:rPr>
          <w:rFonts w:ascii="Calibri" w:hAnsi="Calibri" w:cs="Calibri"/>
          <w:sz w:val="25"/>
          <w:szCs w:val="25"/>
        </w:rPr>
        <w:t xml:space="preserve"> de Bancos de </w:t>
      </w:r>
      <w:proofErr w:type="spellStart"/>
      <w:r>
        <w:rPr>
          <w:rFonts w:ascii="Calibri" w:hAnsi="Calibri" w:cs="Calibri"/>
          <w:sz w:val="25"/>
          <w:szCs w:val="25"/>
        </w:rPr>
        <w:t>Semillas</w:t>
      </w:r>
      <w:proofErr w:type="spellEnd"/>
      <w:r>
        <w:rPr>
          <w:rFonts w:ascii="Calibri" w:hAnsi="Calibri" w:cs="Calibri"/>
          <w:sz w:val="25"/>
          <w:szCs w:val="25"/>
        </w:rPr>
        <w:t xml:space="preserve">. </w:t>
      </w:r>
      <w:proofErr w:type="spellStart"/>
      <w:r w:rsidRPr="00BF0601">
        <w:rPr>
          <w:rFonts w:ascii="Calibri" w:hAnsi="Calibri" w:cs="Calibri"/>
          <w:sz w:val="25"/>
          <w:szCs w:val="25"/>
        </w:rPr>
        <w:t>Bioversity</w:t>
      </w:r>
      <w:proofErr w:type="spellEnd"/>
      <w:r w:rsidRPr="00BF0601">
        <w:rPr>
          <w:rFonts w:ascii="Calibri" w:hAnsi="Calibri" w:cs="Calibri"/>
          <w:sz w:val="25"/>
          <w:szCs w:val="25"/>
        </w:rPr>
        <w:t xml:space="preserve"> international, Roma, </w:t>
      </w:r>
      <w:proofErr w:type="spellStart"/>
      <w:r w:rsidRPr="00BF0601">
        <w:rPr>
          <w:rFonts w:ascii="Calibri" w:hAnsi="Calibri" w:cs="Calibri"/>
          <w:sz w:val="25"/>
          <w:szCs w:val="25"/>
        </w:rPr>
        <w:t>Italia</w:t>
      </w:r>
      <w:proofErr w:type="spellEnd"/>
    </w:p>
    <w:p w:rsidR="006649CD" w:rsidRDefault="006649CD" w:rsidP="006649CD">
      <w:pPr>
        <w:kinsoku w:val="0"/>
        <w:overflowPunct w:val="0"/>
        <w:spacing w:before="199" w:line="337" w:lineRule="exact"/>
        <w:ind w:left="216" w:right="216"/>
        <w:textAlignment w:val="baseline"/>
        <w:rPr>
          <w:rFonts w:ascii="Calibri" w:hAnsi="Calibri" w:cs="Calibri"/>
          <w:sz w:val="25"/>
          <w:szCs w:val="25"/>
        </w:rPr>
      </w:pPr>
      <w:proofErr w:type="spellStart"/>
      <w:r w:rsidRPr="00BF0601">
        <w:rPr>
          <w:rFonts w:ascii="Calibri" w:hAnsi="Calibri" w:cs="Calibri"/>
          <w:sz w:val="25"/>
          <w:szCs w:val="25"/>
        </w:rPr>
        <w:t>Pennington</w:t>
      </w:r>
      <w:proofErr w:type="spellEnd"/>
      <w:r w:rsidRPr="00BF0601">
        <w:rPr>
          <w:rFonts w:ascii="Calibri" w:hAnsi="Calibri" w:cs="Calibri"/>
          <w:sz w:val="25"/>
          <w:szCs w:val="25"/>
        </w:rPr>
        <w:t xml:space="preserve">, T.D. y J. </w:t>
      </w:r>
      <w:proofErr w:type="spellStart"/>
      <w:r w:rsidRPr="00BF0601">
        <w:rPr>
          <w:rFonts w:ascii="Calibri" w:hAnsi="Calibri" w:cs="Calibri"/>
          <w:sz w:val="25"/>
          <w:szCs w:val="25"/>
        </w:rPr>
        <w:t>Sarukhân</w:t>
      </w:r>
      <w:proofErr w:type="spellEnd"/>
      <w:r w:rsidRPr="00BF0601">
        <w:rPr>
          <w:rFonts w:ascii="Calibri" w:hAnsi="Calibri" w:cs="Calibri"/>
          <w:sz w:val="25"/>
          <w:szCs w:val="25"/>
        </w:rPr>
        <w:t xml:space="preserve">. </w:t>
      </w:r>
      <w:r>
        <w:rPr>
          <w:rFonts w:ascii="Calibri" w:hAnsi="Calibri" w:cs="Calibri"/>
          <w:sz w:val="25"/>
          <w:szCs w:val="25"/>
        </w:rPr>
        <w:t xml:space="preserve">2005. </w:t>
      </w:r>
      <w:proofErr w:type="spellStart"/>
      <w:r>
        <w:rPr>
          <w:rFonts w:ascii="Calibri" w:hAnsi="Calibri" w:cs="Calibri"/>
          <w:b/>
          <w:bCs/>
          <w:sz w:val="24"/>
          <w:szCs w:val="24"/>
        </w:rPr>
        <w:t>Ârboles</w:t>
      </w:r>
      <w:proofErr w:type="spellEnd"/>
      <w:r>
        <w:rPr>
          <w:rFonts w:ascii="Calibri" w:hAnsi="Calibri" w:cs="Calibri"/>
          <w:b/>
          <w:bCs/>
          <w:sz w:val="24"/>
          <w:szCs w:val="24"/>
        </w:rPr>
        <w:t xml:space="preserve"> Tropicales de </w:t>
      </w:r>
      <w:proofErr w:type="spellStart"/>
      <w:r>
        <w:rPr>
          <w:rFonts w:ascii="Calibri" w:hAnsi="Calibri" w:cs="Calibri"/>
          <w:b/>
          <w:bCs/>
          <w:sz w:val="24"/>
          <w:szCs w:val="24"/>
        </w:rPr>
        <w:t>México</w:t>
      </w:r>
      <w:proofErr w:type="spellEnd"/>
      <w:r>
        <w:rPr>
          <w:rFonts w:ascii="Calibri" w:hAnsi="Calibri" w:cs="Calibri"/>
          <w:b/>
          <w:bCs/>
          <w:sz w:val="24"/>
          <w:szCs w:val="24"/>
        </w:rPr>
        <w:t xml:space="preserve">: </w:t>
      </w:r>
      <w:proofErr w:type="spellStart"/>
      <w:r>
        <w:rPr>
          <w:rFonts w:ascii="Calibri" w:hAnsi="Calibri" w:cs="Calibri"/>
          <w:b/>
          <w:bCs/>
          <w:sz w:val="24"/>
          <w:szCs w:val="24"/>
        </w:rPr>
        <w:t>Manual</w:t>
      </w:r>
      <w:proofErr w:type="spellEnd"/>
      <w:r>
        <w:rPr>
          <w:rFonts w:ascii="Calibri" w:hAnsi="Calibri" w:cs="Calibri"/>
          <w:b/>
          <w:bCs/>
          <w:sz w:val="24"/>
          <w:szCs w:val="24"/>
        </w:rPr>
        <w:t xml:space="preserve"> para </w:t>
      </w:r>
      <w:proofErr w:type="gramStart"/>
      <w:r>
        <w:rPr>
          <w:rFonts w:ascii="Calibri" w:hAnsi="Calibri" w:cs="Calibri"/>
          <w:b/>
          <w:bCs/>
          <w:sz w:val="24"/>
          <w:szCs w:val="24"/>
        </w:rPr>
        <w:t xml:space="preserve">la </w:t>
      </w:r>
      <w:proofErr w:type="spellStart"/>
      <w:r>
        <w:rPr>
          <w:rFonts w:ascii="Calibri" w:hAnsi="Calibri" w:cs="Calibri"/>
          <w:b/>
          <w:bCs/>
          <w:sz w:val="24"/>
          <w:szCs w:val="24"/>
        </w:rPr>
        <w:t>identificaciôn</w:t>
      </w:r>
      <w:proofErr w:type="spellEnd"/>
      <w:proofErr w:type="gramEnd"/>
      <w:r>
        <w:rPr>
          <w:rFonts w:ascii="Calibri" w:hAnsi="Calibri" w:cs="Calibri"/>
          <w:b/>
          <w:bCs/>
          <w:sz w:val="24"/>
          <w:szCs w:val="24"/>
        </w:rPr>
        <w:t xml:space="preserve"> de las Principales </w:t>
      </w:r>
      <w:proofErr w:type="spellStart"/>
      <w:r>
        <w:rPr>
          <w:rFonts w:ascii="Calibri" w:hAnsi="Calibri" w:cs="Calibri"/>
          <w:b/>
          <w:bCs/>
          <w:sz w:val="24"/>
          <w:szCs w:val="24"/>
        </w:rPr>
        <w:t>Especies</w:t>
      </w:r>
      <w:proofErr w:type="spellEnd"/>
      <w:r>
        <w:rPr>
          <w:rFonts w:ascii="Calibri" w:hAnsi="Calibri" w:cs="Calibri"/>
          <w:b/>
          <w:bCs/>
          <w:sz w:val="24"/>
          <w:szCs w:val="24"/>
        </w:rPr>
        <w:t xml:space="preserve">. </w:t>
      </w:r>
      <w:r>
        <w:rPr>
          <w:rFonts w:ascii="Calibri" w:hAnsi="Calibri" w:cs="Calibri"/>
          <w:sz w:val="25"/>
          <w:szCs w:val="25"/>
        </w:rPr>
        <w:t xml:space="preserve">Tercera </w:t>
      </w:r>
      <w:proofErr w:type="spellStart"/>
      <w:r>
        <w:rPr>
          <w:rFonts w:ascii="Calibri" w:hAnsi="Calibri" w:cs="Calibri"/>
          <w:sz w:val="25"/>
          <w:szCs w:val="25"/>
        </w:rPr>
        <w:t>ediciôn</w:t>
      </w:r>
      <w:proofErr w:type="spellEnd"/>
      <w:r>
        <w:rPr>
          <w:rFonts w:ascii="Calibri" w:hAnsi="Calibri" w:cs="Calibri"/>
          <w:sz w:val="25"/>
          <w:szCs w:val="25"/>
        </w:rPr>
        <w:t xml:space="preserve">. UNAM. </w:t>
      </w:r>
      <w:proofErr w:type="spellStart"/>
      <w:r>
        <w:rPr>
          <w:rFonts w:ascii="Calibri" w:hAnsi="Calibri" w:cs="Calibri"/>
          <w:sz w:val="25"/>
          <w:szCs w:val="25"/>
        </w:rPr>
        <w:t>Fondo</w:t>
      </w:r>
      <w:proofErr w:type="spellEnd"/>
      <w:r>
        <w:rPr>
          <w:rFonts w:ascii="Calibri" w:hAnsi="Calibri" w:cs="Calibri"/>
          <w:sz w:val="25"/>
          <w:szCs w:val="25"/>
        </w:rPr>
        <w:t xml:space="preserve"> de </w:t>
      </w:r>
      <w:proofErr w:type="spellStart"/>
      <w:r>
        <w:rPr>
          <w:rFonts w:ascii="Calibri" w:hAnsi="Calibri" w:cs="Calibri"/>
          <w:sz w:val="25"/>
          <w:szCs w:val="25"/>
        </w:rPr>
        <w:t>Cultura</w:t>
      </w:r>
      <w:proofErr w:type="spellEnd"/>
      <w:r>
        <w:rPr>
          <w:rFonts w:ascii="Calibri" w:hAnsi="Calibri" w:cs="Calibri"/>
          <w:sz w:val="25"/>
          <w:szCs w:val="25"/>
        </w:rPr>
        <w:t xml:space="preserve"> </w:t>
      </w:r>
      <w:proofErr w:type="spellStart"/>
      <w:r>
        <w:rPr>
          <w:rFonts w:ascii="Calibri" w:hAnsi="Calibri" w:cs="Calibri"/>
          <w:sz w:val="25"/>
          <w:szCs w:val="25"/>
        </w:rPr>
        <w:t>Econômica</w:t>
      </w:r>
      <w:proofErr w:type="spellEnd"/>
      <w:r>
        <w:rPr>
          <w:rFonts w:ascii="Calibri" w:hAnsi="Calibri" w:cs="Calibri"/>
          <w:sz w:val="25"/>
          <w:szCs w:val="25"/>
        </w:rPr>
        <w:t xml:space="preserve">. </w:t>
      </w:r>
      <w:proofErr w:type="spellStart"/>
      <w:r>
        <w:rPr>
          <w:rFonts w:ascii="Calibri" w:hAnsi="Calibri" w:cs="Calibri"/>
          <w:sz w:val="25"/>
          <w:szCs w:val="25"/>
        </w:rPr>
        <w:t>México</w:t>
      </w:r>
      <w:proofErr w:type="spellEnd"/>
      <w:r>
        <w:rPr>
          <w:rFonts w:ascii="Calibri" w:hAnsi="Calibri" w:cs="Calibri"/>
          <w:sz w:val="25"/>
          <w:szCs w:val="25"/>
        </w:rPr>
        <w:t>.</w:t>
      </w:r>
    </w:p>
    <w:p w:rsidR="006649CD" w:rsidRDefault="006649CD" w:rsidP="006649CD">
      <w:pPr>
        <w:kinsoku w:val="0"/>
        <w:overflowPunct w:val="0"/>
        <w:spacing w:before="201" w:line="336" w:lineRule="exact"/>
        <w:ind w:left="216" w:right="216"/>
        <w:textAlignment w:val="baseline"/>
        <w:rPr>
          <w:rFonts w:ascii="Calibri" w:hAnsi="Calibri" w:cs="Calibri"/>
          <w:sz w:val="25"/>
          <w:szCs w:val="25"/>
        </w:rPr>
      </w:pPr>
      <w:proofErr w:type="spellStart"/>
      <w:r>
        <w:rPr>
          <w:rFonts w:ascii="Calibri" w:hAnsi="Calibri" w:cs="Calibri"/>
          <w:sz w:val="25"/>
          <w:szCs w:val="25"/>
        </w:rPr>
        <w:t>Secretaría</w:t>
      </w:r>
      <w:proofErr w:type="spellEnd"/>
      <w:r>
        <w:rPr>
          <w:rFonts w:ascii="Calibri" w:hAnsi="Calibri" w:cs="Calibri"/>
          <w:sz w:val="25"/>
          <w:szCs w:val="25"/>
        </w:rPr>
        <w:t xml:space="preserve"> de </w:t>
      </w:r>
      <w:proofErr w:type="spellStart"/>
      <w:r>
        <w:rPr>
          <w:rFonts w:ascii="Calibri" w:hAnsi="Calibri" w:cs="Calibri"/>
          <w:sz w:val="25"/>
          <w:szCs w:val="25"/>
        </w:rPr>
        <w:t>Agricultura</w:t>
      </w:r>
      <w:proofErr w:type="spellEnd"/>
      <w:r>
        <w:rPr>
          <w:rFonts w:ascii="Calibri" w:hAnsi="Calibri" w:cs="Calibri"/>
          <w:sz w:val="25"/>
          <w:szCs w:val="25"/>
        </w:rPr>
        <w:t xml:space="preserve">, </w:t>
      </w:r>
      <w:proofErr w:type="spellStart"/>
      <w:r>
        <w:rPr>
          <w:rFonts w:ascii="Calibri" w:hAnsi="Calibri" w:cs="Calibri"/>
          <w:sz w:val="25"/>
          <w:szCs w:val="25"/>
        </w:rPr>
        <w:t>Ganadería</w:t>
      </w:r>
      <w:proofErr w:type="spellEnd"/>
      <w:r>
        <w:rPr>
          <w:rFonts w:ascii="Calibri" w:hAnsi="Calibri" w:cs="Calibri"/>
          <w:sz w:val="25"/>
          <w:szCs w:val="25"/>
        </w:rPr>
        <w:t xml:space="preserve"> y </w:t>
      </w:r>
      <w:proofErr w:type="spellStart"/>
      <w:r>
        <w:rPr>
          <w:rFonts w:ascii="Calibri" w:hAnsi="Calibri" w:cs="Calibri"/>
          <w:sz w:val="25"/>
          <w:szCs w:val="25"/>
        </w:rPr>
        <w:t>Desarrollo</w:t>
      </w:r>
      <w:proofErr w:type="spellEnd"/>
      <w:r>
        <w:rPr>
          <w:rFonts w:ascii="Calibri" w:hAnsi="Calibri" w:cs="Calibri"/>
          <w:sz w:val="25"/>
          <w:szCs w:val="25"/>
        </w:rPr>
        <w:t xml:space="preserve"> Rural. </w:t>
      </w:r>
      <w:r>
        <w:rPr>
          <w:rFonts w:ascii="Calibri" w:hAnsi="Calibri" w:cs="Calibri"/>
          <w:b/>
          <w:bCs/>
          <w:sz w:val="24"/>
          <w:szCs w:val="24"/>
        </w:rPr>
        <w:t xml:space="preserve">Flora </w:t>
      </w:r>
      <w:proofErr w:type="spellStart"/>
      <w:r>
        <w:rPr>
          <w:rFonts w:ascii="Calibri" w:hAnsi="Calibri" w:cs="Calibri"/>
          <w:b/>
          <w:bCs/>
          <w:sz w:val="24"/>
          <w:szCs w:val="24"/>
        </w:rPr>
        <w:t>Nectarífera</w:t>
      </w:r>
      <w:proofErr w:type="spellEnd"/>
      <w:r>
        <w:rPr>
          <w:rFonts w:ascii="Calibri" w:hAnsi="Calibri" w:cs="Calibri"/>
          <w:b/>
          <w:bCs/>
          <w:sz w:val="24"/>
          <w:szCs w:val="24"/>
        </w:rPr>
        <w:t xml:space="preserve"> y </w:t>
      </w:r>
      <w:proofErr w:type="spellStart"/>
      <w:r>
        <w:rPr>
          <w:rFonts w:ascii="Calibri" w:hAnsi="Calibri" w:cs="Calibri"/>
          <w:b/>
          <w:bCs/>
          <w:sz w:val="24"/>
          <w:szCs w:val="24"/>
        </w:rPr>
        <w:t>Polinífera</w:t>
      </w:r>
      <w:proofErr w:type="spellEnd"/>
      <w:r>
        <w:rPr>
          <w:rFonts w:ascii="Calibri" w:hAnsi="Calibri" w:cs="Calibri"/>
          <w:b/>
          <w:bCs/>
          <w:sz w:val="24"/>
          <w:szCs w:val="24"/>
        </w:rPr>
        <w:t xml:space="preserve"> en la </w:t>
      </w:r>
      <w:proofErr w:type="spellStart"/>
      <w:r>
        <w:rPr>
          <w:rFonts w:ascii="Calibri" w:hAnsi="Calibri" w:cs="Calibri"/>
          <w:b/>
          <w:bCs/>
          <w:sz w:val="24"/>
          <w:szCs w:val="24"/>
        </w:rPr>
        <w:t>Península</w:t>
      </w:r>
      <w:proofErr w:type="spellEnd"/>
      <w:r>
        <w:rPr>
          <w:rFonts w:ascii="Calibri" w:hAnsi="Calibri" w:cs="Calibri"/>
          <w:b/>
          <w:bCs/>
          <w:sz w:val="24"/>
          <w:szCs w:val="24"/>
        </w:rPr>
        <w:t xml:space="preserve"> de Yucatán. </w:t>
      </w:r>
      <w:proofErr w:type="spellStart"/>
      <w:r>
        <w:rPr>
          <w:rFonts w:ascii="Calibri" w:hAnsi="Calibri" w:cs="Calibri"/>
          <w:sz w:val="25"/>
          <w:szCs w:val="25"/>
        </w:rPr>
        <w:t>Subsecretaría</w:t>
      </w:r>
      <w:proofErr w:type="spellEnd"/>
      <w:r>
        <w:rPr>
          <w:rFonts w:ascii="Calibri" w:hAnsi="Calibri" w:cs="Calibri"/>
          <w:sz w:val="25"/>
          <w:szCs w:val="25"/>
        </w:rPr>
        <w:t xml:space="preserve"> de </w:t>
      </w:r>
      <w:proofErr w:type="spellStart"/>
      <w:r>
        <w:rPr>
          <w:rFonts w:ascii="Calibri" w:hAnsi="Calibri" w:cs="Calibri"/>
          <w:sz w:val="25"/>
          <w:szCs w:val="25"/>
        </w:rPr>
        <w:t>Agricultura</w:t>
      </w:r>
      <w:proofErr w:type="spellEnd"/>
      <w:r>
        <w:rPr>
          <w:rFonts w:ascii="Calibri" w:hAnsi="Calibri" w:cs="Calibri"/>
          <w:sz w:val="25"/>
          <w:szCs w:val="25"/>
        </w:rPr>
        <w:t xml:space="preserve"> y </w:t>
      </w:r>
      <w:proofErr w:type="spellStart"/>
      <w:r>
        <w:rPr>
          <w:rFonts w:ascii="Calibri" w:hAnsi="Calibri" w:cs="Calibri"/>
          <w:sz w:val="25"/>
          <w:szCs w:val="25"/>
        </w:rPr>
        <w:t>Ganadería</w:t>
      </w:r>
      <w:proofErr w:type="spellEnd"/>
      <w:r>
        <w:rPr>
          <w:rFonts w:ascii="Calibri" w:hAnsi="Calibri" w:cs="Calibri"/>
          <w:sz w:val="25"/>
          <w:szCs w:val="25"/>
        </w:rPr>
        <w:t xml:space="preserve">. Mérida </w:t>
      </w:r>
      <w:proofErr w:type="spellStart"/>
      <w:r>
        <w:rPr>
          <w:rFonts w:ascii="Calibri" w:hAnsi="Calibri" w:cs="Calibri"/>
          <w:sz w:val="25"/>
          <w:szCs w:val="25"/>
        </w:rPr>
        <w:t>Yucatân</w:t>
      </w:r>
      <w:proofErr w:type="spellEnd"/>
      <w:r>
        <w:rPr>
          <w:rFonts w:ascii="Calibri" w:hAnsi="Calibri" w:cs="Calibri"/>
          <w:sz w:val="25"/>
          <w:szCs w:val="25"/>
        </w:rPr>
        <w:t>.</w:t>
      </w:r>
    </w:p>
    <w:p w:rsidR="006649CD" w:rsidRDefault="00243F17" w:rsidP="006649CD">
      <w:pPr>
        <w:spacing w:after="0" w:line="240" w:lineRule="auto"/>
        <w:rPr>
          <w:rFonts w:ascii="Calibri" w:hAnsi="Calibri" w:cs="Calibri"/>
          <w:color w:val="0000FF"/>
          <w:sz w:val="24"/>
          <w:szCs w:val="24"/>
          <w:u w:val="single"/>
        </w:rPr>
      </w:pPr>
      <w:hyperlink r:id="rId17" w:history="1">
        <w:r w:rsidR="006649CD">
          <w:rPr>
            <w:rFonts w:ascii="Calibri" w:hAnsi="Calibri" w:cs="Calibri"/>
            <w:color w:val="0000FF"/>
            <w:sz w:val="25"/>
            <w:szCs w:val="25"/>
            <w:u w:val="single"/>
          </w:rPr>
          <w:t>Http://herbaria.plants.ox.ac.uk/adc/noticias/infoplazas</w:t>
        </w:r>
      </w:hyperlink>
      <w:r w:rsidR="006649CD">
        <w:rPr>
          <w:rFonts w:ascii="Calibri" w:hAnsi="Calibri" w:cs="Calibri"/>
          <w:sz w:val="25"/>
          <w:szCs w:val="25"/>
        </w:rPr>
        <w:t xml:space="preserve"> </w:t>
      </w:r>
      <w:r w:rsidR="006649CD">
        <w:rPr>
          <w:rFonts w:ascii="Calibri" w:hAnsi="Calibri" w:cs="Calibri"/>
          <w:b/>
          <w:bCs/>
          <w:sz w:val="24"/>
          <w:szCs w:val="24"/>
        </w:rPr>
        <w:t>(</w:t>
      </w:r>
      <w:proofErr w:type="spellStart"/>
      <w:r w:rsidR="006649CD">
        <w:rPr>
          <w:rFonts w:ascii="Calibri" w:hAnsi="Calibri" w:cs="Calibri"/>
          <w:b/>
          <w:bCs/>
          <w:sz w:val="24"/>
          <w:szCs w:val="24"/>
        </w:rPr>
        <w:t>Arboles</w:t>
      </w:r>
      <w:proofErr w:type="spellEnd"/>
      <w:r w:rsidR="006649CD">
        <w:rPr>
          <w:rFonts w:ascii="Calibri" w:hAnsi="Calibri" w:cs="Calibri"/>
          <w:b/>
          <w:bCs/>
          <w:sz w:val="24"/>
          <w:szCs w:val="24"/>
        </w:rPr>
        <w:t xml:space="preserve"> de </w:t>
      </w:r>
      <w:proofErr w:type="spellStart"/>
      <w:r w:rsidR="006649CD">
        <w:rPr>
          <w:rFonts w:ascii="Calibri" w:hAnsi="Calibri" w:cs="Calibri"/>
          <w:b/>
          <w:bCs/>
          <w:sz w:val="24"/>
          <w:szCs w:val="24"/>
        </w:rPr>
        <w:t>Centroamérica</w:t>
      </w:r>
      <w:proofErr w:type="spellEnd"/>
      <w:r w:rsidR="006649CD">
        <w:rPr>
          <w:rFonts w:ascii="Calibri" w:hAnsi="Calibri" w:cs="Calibri"/>
          <w:b/>
          <w:bCs/>
          <w:sz w:val="24"/>
          <w:szCs w:val="24"/>
        </w:rPr>
        <w:t xml:space="preserve">) </w:t>
      </w:r>
      <w:hyperlink r:id="rId18" w:history="1">
        <w:r w:rsidR="006649CD">
          <w:rPr>
            <w:rFonts w:ascii="Calibri" w:hAnsi="Calibri" w:cs="Calibri"/>
            <w:color w:val="0000FF"/>
            <w:sz w:val="24"/>
            <w:szCs w:val="24"/>
            <w:u w:val="single"/>
          </w:rPr>
          <w:t>http://www.semarnap.gob.mx/ssrn/pronare/gaceta/ficha1.htm</w:t>
        </w:r>
      </w:hyperlink>
    </w:p>
    <w:p w:rsidR="00A209A6" w:rsidRPr="00A209A6" w:rsidRDefault="00A209A6" w:rsidP="00A209A6">
      <w:pPr>
        <w:spacing w:after="0" w:line="240" w:lineRule="auto"/>
        <w:rPr>
          <w:sz w:val="20"/>
          <w:szCs w:val="20"/>
        </w:rPr>
      </w:pPr>
    </w:p>
    <w:sectPr w:rsidR="00A209A6" w:rsidRPr="00A209A6" w:rsidSect="00A209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A209A6"/>
    <w:rsid w:val="00154FBB"/>
    <w:rsid w:val="00174FBD"/>
    <w:rsid w:val="001C3CDE"/>
    <w:rsid w:val="00205C04"/>
    <w:rsid w:val="00243F17"/>
    <w:rsid w:val="00374CE5"/>
    <w:rsid w:val="00563F01"/>
    <w:rsid w:val="005F76C6"/>
    <w:rsid w:val="006649CD"/>
    <w:rsid w:val="00676348"/>
    <w:rsid w:val="006F1D68"/>
    <w:rsid w:val="0084377B"/>
    <w:rsid w:val="00941E00"/>
    <w:rsid w:val="00995DED"/>
    <w:rsid w:val="00A209A6"/>
    <w:rsid w:val="00A82A62"/>
    <w:rsid w:val="00AF31C3"/>
    <w:rsid w:val="00B14926"/>
    <w:rsid w:val="00B15085"/>
    <w:rsid w:val="00B8089F"/>
    <w:rsid w:val="00BA6506"/>
    <w:rsid w:val="00BF0601"/>
    <w:rsid w:val="00C3058A"/>
    <w:rsid w:val="00E7066B"/>
    <w:rsid w:val="00F468D6"/>
    <w:rsid w:val="00F563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3F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3F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775784">
      <w:bodyDiv w:val="1"/>
      <w:marLeft w:val="0"/>
      <w:marRight w:val="0"/>
      <w:marTop w:val="0"/>
      <w:marBottom w:val="0"/>
      <w:divBdr>
        <w:top w:val="none" w:sz="0" w:space="0" w:color="auto"/>
        <w:left w:val="none" w:sz="0" w:space="0" w:color="auto"/>
        <w:bottom w:val="none" w:sz="0" w:space="0" w:color="auto"/>
        <w:right w:val="none" w:sz="0" w:space="0" w:color="auto"/>
      </w:divBdr>
      <w:divsChild>
        <w:div w:id="1401367457">
          <w:marLeft w:val="0"/>
          <w:marRight w:val="0"/>
          <w:marTop w:val="0"/>
          <w:marBottom w:val="0"/>
          <w:divBdr>
            <w:top w:val="none" w:sz="0" w:space="0" w:color="auto"/>
            <w:left w:val="none" w:sz="0" w:space="0" w:color="auto"/>
            <w:bottom w:val="none" w:sz="0" w:space="0" w:color="auto"/>
            <w:right w:val="none" w:sz="0" w:space="0" w:color="auto"/>
          </w:divBdr>
          <w:divsChild>
            <w:div w:id="419520921">
              <w:marLeft w:val="0"/>
              <w:marRight w:val="0"/>
              <w:marTop w:val="0"/>
              <w:marBottom w:val="0"/>
              <w:divBdr>
                <w:top w:val="none" w:sz="0" w:space="0" w:color="auto"/>
                <w:left w:val="none" w:sz="0" w:space="0" w:color="auto"/>
                <w:bottom w:val="none" w:sz="0" w:space="0" w:color="auto"/>
                <w:right w:val="none" w:sz="0" w:space="0" w:color="auto"/>
              </w:divBdr>
              <w:divsChild>
                <w:div w:id="1518081923">
                  <w:marLeft w:val="0"/>
                  <w:marRight w:val="0"/>
                  <w:marTop w:val="0"/>
                  <w:marBottom w:val="0"/>
                  <w:divBdr>
                    <w:top w:val="none" w:sz="0" w:space="0" w:color="auto"/>
                    <w:left w:val="none" w:sz="0" w:space="0" w:color="auto"/>
                    <w:bottom w:val="none" w:sz="0" w:space="0" w:color="auto"/>
                    <w:right w:val="none" w:sz="0" w:space="0" w:color="auto"/>
                  </w:divBdr>
                  <w:divsChild>
                    <w:div w:id="333337425">
                      <w:marLeft w:val="0"/>
                      <w:marRight w:val="0"/>
                      <w:marTop w:val="0"/>
                      <w:marBottom w:val="0"/>
                      <w:divBdr>
                        <w:top w:val="none" w:sz="0" w:space="0" w:color="auto"/>
                        <w:left w:val="none" w:sz="0" w:space="0" w:color="auto"/>
                        <w:bottom w:val="none" w:sz="0" w:space="0" w:color="auto"/>
                        <w:right w:val="none" w:sz="0" w:space="0" w:color="auto"/>
                      </w:divBdr>
                      <w:divsChild>
                        <w:div w:id="216821808">
                          <w:marLeft w:val="0"/>
                          <w:marRight w:val="0"/>
                          <w:marTop w:val="0"/>
                          <w:marBottom w:val="0"/>
                          <w:divBdr>
                            <w:top w:val="none" w:sz="0" w:space="0" w:color="auto"/>
                            <w:left w:val="none" w:sz="0" w:space="0" w:color="auto"/>
                            <w:bottom w:val="none" w:sz="0" w:space="0" w:color="auto"/>
                            <w:right w:val="none" w:sz="0" w:space="0" w:color="auto"/>
                          </w:divBdr>
                          <w:divsChild>
                            <w:div w:id="1124425715">
                              <w:marLeft w:val="0"/>
                              <w:marRight w:val="0"/>
                              <w:marTop w:val="0"/>
                              <w:marBottom w:val="0"/>
                              <w:divBdr>
                                <w:top w:val="none" w:sz="0" w:space="0" w:color="auto"/>
                                <w:left w:val="none" w:sz="0" w:space="0" w:color="auto"/>
                                <w:bottom w:val="none" w:sz="0" w:space="0" w:color="auto"/>
                                <w:right w:val="none" w:sz="0" w:space="0" w:color="auto"/>
                              </w:divBdr>
                              <w:divsChild>
                                <w:div w:id="847600087">
                                  <w:marLeft w:val="0"/>
                                  <w:marRight w:val="0"/>
                                  <w:marTop w:val="0"/>
                                  <w:marBottom w:val="0"/>
                                  <w:divBdr>
                                    <w:top w:val="none" w:sz="0" w:space="0" w:color="auto"/>
                                    <w:left w:val="none" w:sz="0" w:space="0" w:color="auto"/>
                                    <w:bottom w:val="none" w:sz="0" w:space="0" w:color="auto"/>
                                    <w:right w:val="none" w:sz="0" w:space="0" w:color="auto"/>
                                  </w:divBdr>
                                  <w:divsChild>
                                    <w:div w:id="2060739652">
                                      <w:marLeft w:val="0"/>
                                      <w:marRight w:val="0"/>
                                      <w:marTop w:val="0"/>
                                      <w:marBottom w:val="0"/>
                                      <w:divBdr>
                                        <w:top w:val="none" w:sz="0" w:space="0" w:color="auto"/>
                                        <w:left w:val="none" w:sz="0" w:space="0" w:color="auto"/>
                                        <w:bottom w:val="none" w:sz="0" w:space="0" w:color="auto"/>
                                        <w:right w:val="none" w:sz="0" w:space="0" w:color="auto"/>
                                      </w:divBdr>
                                      <w:divsChild>
                                        <w:div w:id="989094605">
                                          <w:marLeft w:val="0"/>
                                          <w:marRight w:val="0"/>
                                          <w:marTop w:val="0"/>
                                          <w:marBottom w:val="0"/>
                                          <w:divBdr>
                                            <w:top w:val="none" w:sz="0" w:space="0" w:color="auto"/>
                                            <w:left w:val="none" w:sz="0" w:space="0" w:color="auto"/>
                                            <w:bottom w:val="none" w:sz="0" w:space="0" w:color="auto"/>
                                            <w:right w:val="none" w:sz="0" w:space="0" w:color="auto"/>
                                          </w:divBdr>
                                          <w:divsChild>
                                            <w:div w:id="8412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semarnap.gob.mx/ssrn/pronare/gaceta/ficha1.htm"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herbaria.plants.ox.ac.uk/adc/noticias/infoplazas"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6E542-14DE-471F-9EC6-C132A69E3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4567</Words>
  <Characters>25120</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c:creator>
  <cp:lastModifiedBy>LISAN, Benjamin (ext.)</cp:lastModifiedBy>
  <cp:revision>18</cp:revision>
  <dcterms:created xsi:type="dcterms:W3CDTF">2012-07-31T03:14:00Z</dcterms:created>
  <dcterms:modified xsi:type="dcterms:W3CDTF">2012-08-02T14:57:00Z</dcterms:modified>
</cp:coreProperties>
</file>